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E13C6B" w14:textId="77777777" w:rsidR="002C7682" w:rsidRDefault="003F24E2" w:rsidP="00C54777">
      <w:pPr>
        <w:pStyle w:val="BodyText"/>
      </w:pPr>
      <w:r w:rsidRPr="003F24E2">
        <w:t>Ultra-thin Flip</w:t>
      </w:r>
      <w:r>
        <w:t>-</w:t>
      </w:r>
      <w:r w:rsidRPr="003F24E2">
        <w:t>Chip Assembly for Heterogenous and Hybrid Integration</w:t>
      </w:r>
      <w:r w:rsidR="002C7682">
        <w:br/>
      </w:r>
    </w:p>
    <w:p w14:paraId="19D7AF50" w14:textId="77777777" w:rsidR="003F24E2" w:rsidRDefault="003F24E2" w:rsidP="003F24E2">
      <w:pPr>
        <w:pStyle w:val="Authors"/>
        <w:framePr w:w="0" w:hSpace="0" w:vSpace="0" w:wrap="auto" w:vAnchor="margin" w:hAnchor="text" w:xAlign="left" w:yAlign="inline"/>
        <w:spacing w:after="0"/>
        <w:rPr>
          <w:rStyle w:val="MemberType"/>
          <w:i w:val="0"/>
          <w:iCs w:val="0"/>
          <w:sz w:val="20"/>
        </w:rPr>
      </w:pPr>
      <w:r>
        <w:rPr>
          <w:sz w:val="20"/>
        </w:rPr>
        <w:t>Douglas Hackler</w:t>
      </w:r>
      <w:r w:rsidRPr="000E0B6E">
        <w:rPr>
          <w:sz w:val="20"/>
          <w:vertAlign w:val="superscript"/>
        </w:rPr>
        <w:t>1</w:t>
      </w:r>
      <w:r>
        <w:rPr>
          <w:sz w:val="20"/>
        </w:rPr>
        <w:t>, and Edward Prack</w:t>
      </w:r>
      <w:r w:rsidRPr="000E0B6E">
        <w:rPr>
          <w:sz w:val="20"/>
          <w:vertAlign w:val="superscript"/>
        </w:rPr>
        <w:t>2</w:t>
      </w:r>
      <w:r>
        <w:rPr>
          <w:rStyle w:val="MemberType"/>
          <w:sz w:val="20"/>
        </w:rPr>
        <w:br/>
      </w:r>
      <w:r w:rsidRPr="000E0B6E">
        <w:rPr>
          <w:rStyle w:val="MemberType"/>
          <w:i w:val="0"/>
          <w:iCs w:val="0"/>
          <w:sz w:val="20"/>
          <w:vertAlign w:val="superscript"/>
        </w:rPr>
        <w:t>1</w:t>
      </w:r>
      <w:r>
        <w:rPr>
          <w:rStyle w:val="MemberType"/>
          <w:i w:val="0"/>
          <w:iCs w:val="0"/>
          <w:sz w:val="20"/>
        </w:rPr>
        <w:t xml:space="preserve">American Semiconductor, </w:t>
      </w:r>
      <w:r w:rsidRPr="000E0B6E">
        <w:rPr>
          <w:rStyle w:val="MemberType"/>
          <w:i w:val="0"/>
          <w:iCs w:val="0"/>
          <w:sz w:val="20"/>
          <w:vertAlign w:val="superscript"/>
        </w:rPr>
        <w:t>2</w:t>
      </w:r>
      <w:r>
        <w:rPr>
          <w:rStyle w:val="MemberType"/>
          <w:i w:val="0"/>
          <w:iCs w:val="0"/>
          <w:sz w:val="20"/>
        </w:rPr>
        <w:t>MASIP, LLC</w:t>
      </w:r>
      <w:r>
        <w:rPr>
          <w:rStyle w:val="MemberType"/>
          <w:i w:val="0"/>
          <w:iCs w:val="0"/>
          <w:sz w:val="20"/>
        </w:rPr>
        <w:br/>
        <w:t>6987 W. Targee St</w:t>
      </w:r>
      <w:r>
        <w:rPr>
          <w:rStyle w:val="MemberType"/>
          <w:i w:val="0"/>
          <w:iCs w:val="0"/>
          <w:sz w:val="20"/>
        </w:rPr>
        <w:br/>
        <w:t>Boise, Idaho83709 USA</w:t>
      </w:r>
      <w:r>
        <w:rPr>
          <w:rStyle w:val="MemberType"/>
          <w:i w:val="0"/>
          <w:iCs w:val="0"/>
          <w:sz w:val="20"/>
        </w:rPr>
        <w:br/>
        <w:t>Ph: 208-336-2773; Fax: 208-336-2752</w:t>
      </w:r>
      <w:r>
        <w:rPr>
          <w:rStyle w:val="MemberType"/>
          <w:i w:val="0"/>
          <w:iCs w:val="0"/>
          <w:sz w:val="20"/>
        </w:rPr>
        <w:br/>
        <w:t xml:space="preserve">Email: </w:t>
      </w:r>
      <w:hyperlink r:id="rId7" w:history="1">
        <w:r w:rsidRPr="00BD3ECD">
          <w:rPr>
            <w:rStyle w:val="Hyperlink"/>
            <w:sz w:val="20"/>
          </w:rPr>
          <w:t>doughackler@americansemi.com</w:t>
        </w:r>
      </w:hyperlink>
    </w:p>
    <w:p w14:paraId="026D4CC2" w14:textId="77777777" w:rsidR="002C7682" w:rsidRDefault="00CF4A5B">
      <w:r>
        <w:rPr>
          <w:noProof/>
        </w:rPr>
        <mc:AlternateContent>
          <mc:Choice Requires="wps">
            <w:drawing>
              <wp:anchor distT="4294967293" distB="4294967293" distL="114300" distR="114300" simplePos="0" relativeHeight="251658240" behindDoc="0" locked="0" layoutInCell="1" allowOverlap="1" wp14:anchorId="0A6C27B7" wp14:editId="723C481B">
                <wp:simplePos x="0" y="0"/>
                <wp:positionH relativeFrom="column">
                  <wp:posOffset>-520065</wp:posOffset>
                </wp:positionH>
                <wp:positionV relativeFrom="paragraph">
                  <wp:posOffset>118109</wp:posOffset>
                </wp:positionV>
                <wp:extent cx="6553200" cy="0"/>
                <wp:effectExtent l="0" t="19050" r="19050" b="19050"/>
                <wp:wrapNone/>
                <wp:docPr id="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3200" cy="0"/>
                        </a:xfrm>
                        <a:prstGeom prst="line">
                          <a:avLst/>
                        </a:prstGeom>
                        <a:noFill/>
                        <a:ln w="57150" cmpd="thickThin">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1128DF49" id="Line 9"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0.95pt,9.3pt" to="475.0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" strokeweight="4.5pt">
                <v:stroke linestyle="thickThin"/>
              </v:line>
            </w:pict>
          </mc:Fallback>
        </mc:AlternateContent>
      </w:r>
    </w:p>
    <w:p w14:paraId="362666E6" w14:textId="77777777" w:rsidR="002C7682" w:rsidRDefault="002C7682"/>
    <w:p w14:paraId="7A4656C7" w14:textId="77777777" w:rsidR="002C7682" w:rsidRDefault="002C7682" w:rsidP="00D84057">
      <w:pPr>
        <w:pStyle w:val="Abstract"/>
        <w:ind w:firstLine="0"/>
        <w:rPr>
          <w:iCs/>
          <w:sz w:val="24"/>
        </w:rPr>
      </w:pPr>
      <w:r>
        <w:rPr>
          <w:iCs/>
          <w:sz w:val="24"/>
        </w:rPr>
        <w:t>Abstract</w:t>
      </w:r>
    </w:p>
    <w:p w14:paraId="777BFD3C" w14:textId="77777777" w:rsidR="003F24E2" w:rsidRPr="003F24E2" w:rsidRDefault="003F24E2" w:rsidP="003F24E2">
      <w:pPr>
        <w:pStyle w:val="Abstract"/>
        <w:rPr>
          <w:b w:val="0"/>
          <w:bCs w:val="0"/>
          <w:iCs/>
          <w:sz w:val="20"/>
        </w:rPr>
      </w:pPr>
      <w:bookmarkStart w:id="0" w:name="_Hlk47516003"/>
      <w:r w:rsidRPr="003F24E2">
        <w:rPr>
          <w:b w:val="0"/>
          <w:bCs w:val="0"/>
          <w:iCs/>
          <w:sz w:val="20"/>
        </w:rPr>
        <w:t xml:space="preserve">Flip-chip packaging of thin-die, in fact any packaging of thin-die, is one of today’s most significant challenges for die handling.  Despite the difficulties presented as the thickness of chips continues to decrease, the wide range of applications they have enabled across multiple industries has led to increasing interest, as evidenced by the growth in the cumulative total number of publications on thin silicon based electronics, including Ultra-Thin Chips (UTCs), thinning of Silicon-on-Insulator, and wafer thinning.  Smart devices including labels, loggers, wearables, implantable medical, and IoT are in demand. A key area of difficulty in the packaging of thin chips comes from removing the individual chips from dicing tape due to the adhesive nature of the tape and die cracking and edge chipping characteristic of thin die.  </w:t>
      </w:r>
    </w:p>
    <w:p w14:paraId="6AAEEB31" w14:textId="77777777" w:rsidR="007E2B4E" w:rsidRDefault="007E2B4E" w:rsidP="003F24E2">
      <w:pPr>
        <w:pStyle w:val="Abstract"/>
        <w:ind w:firstLine="0"/>
        <w:rPr>
          <w:b w:val="0"/>
          <w:bCs w:val="0"/>
          <w:iCs/>
          <w:sz w:val="20"/>
        </w:rPr>
      </w:pPr>
    </w:p>
    <w:p w14:paraId="5381B581" w14:textId="2FB7C55F" w:rsidR="003F24E2" w:rsidRDefault="003F24E2" w:rsidP="003F24E2">
      <w:pPr>
        <w:pStyle w:val="Abstract"/>
        <w:ind w:firstLine="0"/>
        <w:rPr>
          <w:b w:val="0"/>
          <w:bCs w:val="0"/>
          <w:iCs/>
          <w:sz w:val="20"/>
        </w:rPr>
      </w:pPr>
      <w:r w:rsidRPr="003F24E2">
        <w:rPr>
          <w:b w:val="0"/>
          <w:bCs w:val="0"/>
          <w:iCs/>
          <w:sz w:val="20"/>
        </w:rPr>
        <w:t>As the industry continues to embrace the benefits afforded by thin devices, two trends are being witnessed.  Devices continue to grow larger in area and thinner in thickness.  American Semiconductor’s automated production process for packaging and assembly of chips ≤35um in thickness will be presented. This includes details regarding needle</w:t>
      </w:r>
      <w:r w:rsidR="00021C12">
        <w:rPr>
          <w:b w:val="0"/>
          <w:bCs w:val="0"/>
          <w:iCs/>
          <w:sz w:val="20"/>
        </w:rPr>
        <w:t>le</w:t>
      </w:r>
      <w:r w:rsidRPr="003F24E2">
        <w:rPr>
          <w:b w:val="0"/>
          <w:bCs w:val="0"/>
          <w:iCs/>
          <w:sz w:val="20"/>
        </w:rPr>
        <w:t xml:space="preserve">ss die eject, pick tip design for ultra-thin devices, ultra-thin flip-chip interconnects, thin-chip overcoat, process controls, and assembly on flexible circuit boards (FCB).  </w:t>
      </w:r>
    </w:p>
    <w:p w14:paraId="321CF59F" w14:textId="77777777" w:rsidR="002C7682" w:rsidRDefault="002C7682" w:rsidP="00D84057">
      <w:pPr>
        <w:pStyle w:val="IndexTerms"/>
        <w:ind w:firstLine="0"/>
        <w:rPr>
          <w:b w:val="0"/>
          <w:bCs w:val="0"/>
          <w:iCs/>
          <w:sz w:val="20"/>
          <w:szCs w:val="20"/>
        </w:rPr>
      </w:pPr>
      <w:bookmarkStart w:id="1" w:name="PointTmp"/>
      <w:bookmarkEnd w:id="0"/>
    </w:p>
    <w:p w14:paraId="1C07B3D9" w14:textId="77777777" w:rsidR="002C7682" w:rsidRDefault="002C7682" w:rsidP="00D84057">
      <w:pPr>
        <w:pStyle w:val="IndexTerms"/>
        <w:ind w:firstLine="0"/>
        <w:rPr>
          <w:iCs/>
          <w:sz w:val="24"/>
        </w:rPr>
      </w:pPr>
      <w:r>
        <w:rPr>
          <w:iCs/>
          <w:sz w:val="24"/>
        </w:rPr>
        <w:t>Key words</w:t>
      </w:r>
    </w:p>
    <w:p w14:paraId="6E8B5290" w14:textId="77777777" w:rsidR="002C7682" w:rsidRDefault="00D222AF" w:rsidP="00D84057">
      <w:pPr>
        <w:pStyle w:val="IndexTerms"/>
        <w:ind w:firstLine="0"/>
        <w:rPr>
          <w:b w:val="0"/>
          <w:bCs w:val="0"/>
          <w:iCs/>
          <w:sz w:val="20"/>
        </w:rPr>
      </w:pPr>
      <w:r>
        <w:rPr>
          <w:b w:val="0"/>
          <w:bCs w:val="0"/>
          <w:iCs/>
          <w:sz w:val="20"/>
        </w:rPr>
        <w:t>Chip-scale-package, Fan-In, Fan-Out, Antenna-In-Package, Semiconductor-on-Polymer, Direct Chip Attach</w:t>
      </w:r>
      <w:bookmarkEnd w:id="1"/>
    </w:p>
    <w:p w14:paraId="71EB4A22" w14:textId="77777777" w:rsidR="002C7682" w:rsidRDefault="002C7682">
      <w:pPr>
        <w:pStyle w:val="Footer"/>
        <w:tabs>
          <w:tab w:val="clear" w:pos="4320"/>
          <w:tab w:val="clear" w:pos="8640"/>
        </w:tabs>
      </w:pPr>
    </w:p>
    <w:p w14:paraId="6A87E2E0" w14:textId="77777777" w:rsidR="002C7682" w:rsidRDefault="00CF4A5B">
      <w:r>
        <w:rPr>
          <w:noProof/>
        </w:rPr>
        <mc:AlternateContent>
          <mc:Choice Requires="wps">
            <w:drawing>
              <wp:anchor distT="4294967293" distB="4294967293" distL="114300" distR="114300" simplePos="0" relativeHeight="251657216" behindDoc="0" locked="0" layoutInCell="1" allowOverlap="1" wp14:anchorId="0DA72F98" wp14:editId="61D99064">
                <wp:simplePos x="0" y="0"/>
                <wp:positionH relativeFrom="column">
                  <wp:posOffset>-520065</wp:posOffset>
                </wp:positionH>
                <wp:positionV relativeFrom="paragraph">
                  <wp:posOffset>133349</wp:posOffset>
                </wp:positionV>
                <wp:extent cx="6553200" cy="0"/>
                <wp:effectExtent l="0" t="19050" r="19050" b="19050"/>
                <wp:wrapNone/>
                <wp:docPr id="7"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3200" cy="0"/>
                        </a:xfrm>
                        <a:prstGeom prst="line">
                          <a:avLst/>
                        </a:prstGeom>
                        <a:noFill/>
                        <a:ln w="57150" cmpd="thickThin">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18E22542" id="Line 8" o:spid="_x0000_s1026" style="position:absolute;z-index:2516572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0.95pt,10.5pt" to="475.0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" strokeweight="4.5pt">
                <v:stroke linestyle="thickThin"/>
              </v:line>
            </w:pict>
          </mc:Fallback>
        </mc:AlternateContent>
      </w:r>
    </w:p>
    <w:p w14:paraId="7A179432" w14:textId="77777777" w:rsidR="002C7682" w:rsidRDefault="002C7682">
      <w:pPr>
        <w:pStyle w:val="IndexTerms"/>
      </w:pPr>
    </w:p>
    <w:p w14:paraId="759D46C9" w14:textId="77777777" w:rsidR="002C7682" w:rsidRDefault="002C7682">
      <w:pPr>
        <w:pStyle w:val="IndexTerms"/>
        <w:ind w:firstLine="0"/>
      </w:pPr>
    </w:p>
    <w:p w14:paraId="2DB17A57" w14:textId="77777777" w:rsidR="00176A65" w:rsidRPr="00176A65" w:rsidRDefault="00176A65" w:rsidP="00176A65">
      <w:pPr>
        <w:sectPr w:rsidR="00176A65" w:rsidRPr="00176A65">
          <w:headerReference w:type="default" r:id="rId8"/>
          <w:footerReference w:type="even" r:id="rId9"/>
          <w:footerReference w:type="default" r:id="rId10"/>
          <w:type w:val="continuous"/>
          <w:pgSz w:w="12240" w:h="15840" w:code="1"/>
          <w:pgMar w:top="1440" w:right="1800" w:bottom="1440" w:left="1800" w:header="720" w:footer="576" w:gutter="0"/>
          <w:cols w:space="288"/>
        </w:sectPr>
      </w:pPr>
    </w:p>
    <w:p w14:paraId="0CAF360C" w14:textId="77777777" w:rsidR="002C7682" w:rsidRDefault="00176A65">
      <w:pPr>
        <w:pStyle w:val="Heading1"/>
        <w:numPr>
          <w:ilvl w:val="0"/>
          <w:numId w:val="0"/>
        </w:numPr>
        <w:spacing w:before="0" w:after="0"/>
        <w:jc w:val="left"/>
        <w:rPr>
          <w:b/>
          <w:bCs/>
          <w:smallCaps w:val="0"/>
          <w:sz w:val="24"/>
        </w:rPr>
      </w:pPr>
      <w:r>
        <w:rPr>
          <w:b/>
          <w:bCs/>
          <w:smallCaps w:val="0"/>
          <w:sz w:val="24"/>
        </w:rPr>
        <w:t>I.</w:t>
      </w:r>
      <w:r>
        <w:rPr>
          <w:b/>
          <w:bCs/>
          <w:smallCaps w:val="0"/>
          <w:sz w:val="24"/>
        </w:rPr>
        <w:tab/>
      </w:r>
      <w:r w:rsidR="002C7682">
        <w:rPr>
          <w:b/>
          <w:bCs/>
          <w:smallCaps w:val="0"/>
          <w:sz w:val="24"/>
        </w:rPr>
        <w:t>Introduction</w:t>
      </w:r>
    </w:p>
    <w:p w14:paraId="38B9270D" w14:textId="77777777" w:rsidR="00724033" w:rsidRDefault="005F45F2" w:rsidP="00A92DC0">
      <w:pPr>
        <w:pStyle w:val="Text"/>
        <w:spacing w:before="240"/>
        <w:ind w:firstLine="0"/>
      </w:pPr>
      <w:r w:rsidRPr="005F45F2">
        <w:t>As the industry continues to embrace the benefits afforded by thin devices, two trends are being witnessed. Devices continue to grow larger in area and thinner in thickness. Flip-chip packaging of thin-die, in fact any packaging of thin-die, is one of today’s most significant challenges for die handling.  Despite the difficulties presented as the thickness of chips continues to decrease, the wide range of applications they have enabled across multiple industries has led to increasing interest, as evidenced by the growth in the cumulative total number of publications on thin silicon based electronics, including Ultra-Thin Chips (UTCs), thinning of Silicon-on-Insulator, and wafer thinning.  Smart devices including labels, loggers, wearables, implantable medical, and IoT are in demand.</w:t>
      </w:r>
      <w:r w:rsidR="00D35D5C">
        <w:t xml:space="preserve"> [1]</w:t>
      </w:r>
    </w:p>
    <w:p w14:paraId="16CDA66F" w14:textId="1098FD24" w:rsidR="00021C12" w:rsidRDefault="00021C12" w:rsidP="00021C12">
      <w:pPr>
        <w:pStyle w:val="Text"/>
        <w:ind w:firstLine="0"/>
      </w:pPr>
      <w:r>
        <w:t>Semiconductor-on-Polymer™ (</w:t>
      </w:r>
      <w:r w:rsidR="00E0121E">
        <w:t>SoP</w:t>
      </w:r>
      <w:r>
        <w:t>)</w:t>
      </w:r>
      <w:r w:rsidR="008C00B7">
        <w:t xml:space="preserve"> </w:t>
      </w:r>
      <w:r w:rsidR="00E0121E" w:rsidRPr="001D0787">
        <w:t xml:space="preserve">is a </w:t>
      </w:r>
      <w:r w:rsidR="00E0121E">
        <w:t>Fan-In (</w:t>
      </w:r>
      <w:r w:rsidR="00E0121E" w:rsidRPr="001D0787">
        <w:t>FI</w:t>
      </w:r>
      <w:r w:rsidR="00E0121E">
        <w:t>)</w:t>
      </w:r>
      <w:r w:rsidR="00E0121E" w:rsidRPr="001D0787">
        <w:t xml:space="preserve"> CSP technology that has been developed to provide robust ultra-low volumetric chips.</w:t>
      </w:r>
      <w:r w:rsidR="00E0121E">
        <w:t xml:space="preserve"> The process was initially developed </w:t>
      </w:r>
      <w:r w:rsidR="002A1EB8">
        <w:t>in</w:t>
      </w:r>
      <w:r w:rsidR="00E0121E">
        <w:t xml:space="preserve"> response to the need for ultra-thin </w:t>
      </w:r>
      <w:r w:rsidR="002A1EB8">
        <w:t xml:space="preserve">flexible </w:t>
      </w:r>
      <w:r w:rsidR="00E0121E">
        <w:t xml:space="preserve">devices required </w:t>
      </w:r>
      <w:r w:rsidR="00E0121E">
        <w:t xml:space="preserve">for flexible-hybrid-electronics (FHE). </w:t>
      </w:r>
      <w:r w:rsidR="002A1EB8">
        <w:t xml:space="preserve"> Ag-on-PET flexible circuit board (FCB) assembly is very similar to chip-on-flex and is evolving to include multi-chip capability </w:t>
      </w:r>
      <w:r w:rsidR="00E5720B">
        <w:t xml:space="preserve">using ultra-thin chips </w:t>
      </w:r>
      <w:r w:rsidR="002A1EB8">
        <w:t xml:space="preserve">as shown in Figure 1.  FHE, Chip-on-Flex, and advanced </w:t>
      </w:r>
      <w:r>
        <w:t xml:space="preserve">IC </w:t>
      </w:r>
      <w:r w:rsidR="002A1EB8">
        <w:t>packaging</w:t>
      </w:r>
      <w:r w:rsidR="00E5720B">
        <w:t xml:space="preserve"> are often developing under different technology roadmaps, but all </w:t>
      </w:r>
      <w:r w:rsidR="002A1EB8">
        <w:t xml:space="preserve">include the need for thinner device capabilities. </w:t>
      </w:r>
    </w:p>
    <w:p w14:paraId="2881AFA9" w14:textId="77777777" w:rsidR="00021C12" w:rsidRDefault="00021C12" w:rsidP="00021C12">
      <w:pPr>
        <w:pStyle w:val="Text"/>
        <w:ind w:firstLine="0"/>
      </w:pPr>
    </w:p>
    <w:p w14:paraId="76B2D872" w14:textId="6A769D94" w:rsidR="007E2B4E" w:rsidRDefault="008048F0" w:rsidP="002806BC">
      <w:pPr>
        <w:pStyle w:val="Text"/>
        <w:ind w:firstLine="0"/>
        <w:jc w:val="center"/>
      </w:pPr>
      <w:r>
        <w:rPr>
          <w:noProof/>
        </w:rPr>
        <w:drawing>
          <wp:inline distT="0" distB="0" distL="0" distR="0" wp14:anchorId="728532AD" wp14:editId="7AF61BB1">
            <wp:extent cx="1777202" cy="1457325"/>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31934" cy="1502206"/>
                    </a:xfrm>
                    <a:prstGeom prst="rect">
                      <a:avLst/>
                    </a:prstGeom>
                    <a:noFill/>
                  </pic:spPr>
                </pic:pic>
              </a:graphicData>
            </a:graphic>
          </wp:inline>
        </w:drawing>
      </w:r>
    </w:p>
    <w:p w14:paraId="63882BE0" w14:textId="77777777" w:rsidR="00021C12" w:rsidRDefault="00021C12" w:rsidP="002806BC">
      <w:pPr>
        <w:pStyle w:val="Text"/>
        <w:ind w:firstLine="0"/>
        <w:jc w:val="center"/>
      </w:pPr>
    </w:p>
    <w:p w14:paraId="462689B8" w14:textId="77777777" w:rsidR="002A1EB8" w:rsidRDefault="002806BC" w:rsidP="002806BC">
      <w:pPr>
        <w:pStyle w:val="Text"/>
        <w:ind w:firstLine="0"/>
        <w:jc w:val="center"/>
      </w:pPr>
      <w:r w:rsidRPr="002A1EB8">
        <w:t xml:space="preserve">Figure </w:t>
      </w:r>
      <w:r w:rsidR="002A1EB8" w:rsidRPr="002A1EB8">
        <w:t>–1 FHE Ag-on-PET FCB with multiple SoP FC</w:t>
      </w:r>
    </w:p>
    <w:p w14:paraId="3A8BAA50" w14:textId="77777777" w:rsidR="00021C12" w:rsidRDefault="00021C12">
      <w:pPr>
        <w:pStyle w:val="Text"/>
        <w:ind w:firstLine="0"/>
      </w:pPr>
    </w:p>
    <w:p w14:paraId="4F7E3EDF" w14:textId="72E69AC9" w:rsidR="007E2B4E" w:rsidRDefault="0023576C">
      <w:pPr>
        <w:pStyle w:val="Text"/>
        <w:ind w:firstLine="0"/>
      </w:pPr>
      <w:r>
        <w:lastRenderedPageBreak/>
        <w:t xml:space="preserve">SoP </w:t>
      </w:r>
      <w:r w:rsidR="007E2B4E">
        <w:t xml:space="preserve">offers an integration path for </w:t>
      </w:r>
      <w:r w:rsidR="00E5720B">
        <w:t>ultra-</w:t>
      </w:r>
      <w:r w:rsidR="007E2B4E">
        <w:t>thin die into conventional IC packaging.  This allows thinne</w:t>
      </w:r>
      <w:r w:rsidR="00E5720B">
        <w:t>r</w:t>
      </w:r>
      <w:r w:rsidR="007E2B4E">
        <w:t xml:space="preserve"> and more reliable IC packaging for </w:t>
      </w:r>
      <w:r w:rsidR="00A92DC0">
        <w:t>Fan-In (</w:t>
      </w:r>
      <w:r w:rsidR="007E2B4E">
        <w:t>FI</w:t>
      </w:r>
      <w:r w:rsidR="00A92DC0">
        <w:t>)</w:t>
      </w:r>
      <w:r w:rsidR="007E2B4E">
        <w:t xml:space="preserve"> and for</w:t>
      </w:r>
      <w:r w:rsidR="00A92DC0">
        <w:t xml:space="preserve"> Flip-Chip (</w:t>
      </w:r>
      <w:r w:rsidR="007E2B4E">
        <w:t>FC</w:t>
      </w:r>
      <w:r w:rsidR="00A92DC0">
        <w:t>)</w:t>
      </w:r>
      <w:r w:rsidR="007E2B4E">
        <w:t xml:space="preserve"> packaging. In </w:t>
      </w:r>
      <w:r w:rsidR="00A92DC0">
        <w:t>addition,</w:t>
      </w:r>
      <w:r w:rsidR="007E2B4E">
        <w:t xml:space="preserve"> SoP provides unique paths to integration into traditional </w:t>
      </w:r>
      <w:r w:rsidR="00A92DC0">
        <w:t>Package-on-Package (</w:t>
      </w:r>
      <w:proofErr w:type="spellStart"/>
      <w:r w:rsidR="007E2B4E">
        <w:t>PoP</w:t>
      </w:r>
      <w:proofErr w:type="spellEnd"/>
      <w:r w:rsidR="00A92DC0">
        <w:t>)</w:t>
      </w:r>
      <w:r w:rsidR="007E2B4E">
        <w:t xml:space="preserve"> and</w:t>
      </w:r>
      <w:r w:rsidR="00A92DC0">
        <w:t xml:space="preserve"> Fan-Out</w:t>
      </w:r>
      <w:r w:rsidR="00021C12">
        <w:t xml:space="preserve"> </w:t>
      </w:r>
      <w:r w:rsidR="00A92DC0">
        <w:t>(</w:t>
      </w:r>
      <w:r w:rsidR="007E2B4E">
        <w:t>FO</w:t>
      </w:r>
      <w:r w:rsidR="00A92DC0">
        <w:t>)</w:t>
      </w:r>
      <w:r w:rsidR="007E2B4E">
        <w:t xml:space="preserve"> packaging as well as integrated functionality such as </w:t>
      </w:r>
      <w:r w:rsidR="00A92DC0">
        <w:t>A</w:t>
      </w:r>
      <w:r w:rsidR="007E2B4E">
        <w:t>ntenna</w:t>
      </w:r>
      <w:r w:rsidR="00A92DC0">
        <w:t>-I</w:t>
      </w:r>
      <w:r w:rsidR="007E2B4E">
        <w:t>n</w:t>
      </w:r>
      <w:r w:rsidR="00A92DC0">
        <w:t>-P</w:t>
      </w:r>
      <w:r w:rsidR="007E2B4E">
        <w:t>ackage</w:t>
      </w:r>
      <w:r w:rsidR="00A92DC0">
        <w:t xml:space="preserve"> (AIP)</w:t>
      </w:r>
      <w:r w:rsidR="007E2B4E">
        <w:t>.</w:t>
      </w:r>
    </w:p>
    <w:p w14:paraId="393EC17C" w14:textId="77777777" w:rsidR="00724033" w:rsidRDefault="00724033">
      <w:pPr>
        <w:pStyle w:val="Text"/>
        <w:ind w:firstLine="0"/>
      </w:pPr>
    </w:p>
    <w:p w14:paraId="37918F09" w14:textId="77777777" w:rsidR="005F45F2" w:rsidRDefault="00176A65" w:rsidP="005F45F2">
      <w:pPr>
        <w:rPr>
          <w:b/>
          <w:bCs/>
          <w:sz w:val="24"/>
          <w:szCs w:val="24"/>
        </w:rPr>
      </w:pPr>
      <w:r>
        <w:rPr>
          <w:b/>
          <w:bCs/>
          <w:sz w:val="24"/>
        </w:rPr>
        <w:t xml:space="preserve">II. </w:t>
      </w:r>
      <w:r w:rsidR="005F45F2" w:rsidRPr="005D524F">
        <w:rPr>
          <w:b/>
          <w:bCs/>
          <w:sz w:val="24"/>
          <w:szCs w:val="24"/>
        </w:rPr>
        <w:t>Ultrathin FI CSP</w:t>
      </w:r>
    </w:p>
    <w:p w14:paraId="66290FB4" w14:textId="7E3B0D45" w:rsidR="000E7B26" w:rsidRDefault="005D524F" w:rsidP="00A92DC0">
      <w:pPr>
        <w:spacing w:before="240" w:line="252" w:lineRule="auto"/>
      </w:pPr>
      <w:r w:rsidRPr="001D0787">
        <w:t xml:space="preserve">Ultra-thin device packaging begins with the fabrication of the smallest possible volume IC, i.e. </w:t>
      </w:r>
      <w:r w:rsidRPr="009C0C19">
        <w:t>Chip Scale Packag</w:t>
      </w:r>
      <w:r>
        <w:t>e</w:t>
      </w:r>
      <w:r w:rsidR="00021C12">
        <w:t xml:space="preserve"> </w:t>
      </w:r>
      <w:r>
        <w:t>(</w:t>
      </w:r>
      <w:r w:rsidRPr="001D0787">
        <w:t>CSP</w:t>
      </w:r>
      <w:r>
        <w:t>)</w:t>
      </w:r>
      <w:r w:rsidRPr="001D0787">
        <w:t xml:space="preserve"> devices that are similar to the size of bare die. American Semiconductor’s </w:t>
      </w:r>
      <w:r w:rsidR="00021C12">
        <w:t xml:space="preserve">wafer level </w:t>
      </w:r>
      <w:r w:rsidR="00E0121E">
        <w:t xml:space="preserve">FI CSP </w:t>
      </w:r>
      <w:r w:rsidRPr="001D0787">
        <w:t xml:space="preserve">production process for packaging chips </w:t>
      </w:r>
      <w:r w:rsidR="00021C12">
        <w:t xml:space="preserve">with </w:t>
      </w:r>
      <w:r w:rsidRPr="001D0787">
        <w:t>≤35um total package thickness is a typical example of SoP capability</w:t>
      </w:r>
      <w:r w:rsidR="001A7A52">
        <w:t xml:space="preserve">, Figure </w:t>
      </w:r>
      <w:r w:rsidR="00E5720B">
        <w:t>2</w:t>
      </w:r>
      <w:r w:rsidRPr="001D0787">
        <w:t xml:space="preserve">. </w:t>
      </w:r>
      <w:r w:rsidR="000E7B26">
        <w:t xml:space="preserve">The device shown </w:t>
      </w:r>
      <w:r w:rsidR="002631EC">
        <w:t>is implemented with polyimide that is essentially clear. Polymer selection can include opaque materials if beneficial to the targeted application.</w:t>
      </w:r>
    </w:p>
    <w:p w14:paraId="504C5883" w14:textId="77777777" w:rsidR="008B0E54" w:rsidRPr="000F4507" w:rsidRDefault="005D524F" w:rsidP="000F4507">
      <w:pPr>
        <w:spacing w:before="240" w:line="252" w:lineRule="auto"/>
      </w:pPr>
      <w:r w:rsidRPr="001D0787">
        <w:t>In</w:t>
      </w:r>
      <w:r w:rsidR="00DF28CD">
        <w:t xml:space="preserve"> SoP the backside polymer coating</w:t>
      </w:r>
      <w:r w:rsidRPr="001D0787">
        <w:t xml:space="preserve"> provides the mechanical structure that enables the semiconductor materials stack to be thinner than what is feasible f</w:t>
      </w:r>
      <w:r w:rsidR="00DF28CD">
        <w:t xml:space="preserve">or bare die. The polymer coating </w:t>
      </w:r>
      <w:r w:rsidRPr="001D0787">
        <w:t xml:space="preserve">of the frontside and backside provide the dielectric necessary </w:t>
      </w:r>
      <w:r w:rsidR="00A00B3C">
        <w:t>for improve reliability and</w:t>
      </w:r>
      <w:r w:rsidRPr="001D0787">
        <w:t xml:space="preserve"> enable routing for FI connections.</w:t>
      </w:r>
      <w:r w:rsidR="0055758C">
        <w:t xml:space="preserve"> SoP chips are exceptionally thin and relatively two-dimensional in nature. The thin CSP design was initiated in support of general advanced packaging challenges such as chip stacking where the thin device reduces chip step heights. </w:t>
      </w:r>
    </w:p>
    <w:p w14:paraId="1BEC778D" w14:textId="77777777" w:rsidR="002631EC" w:rsidRDefault="002631EC" w:rsidP="00A92DC0">
      <w:pPr>
        <w:spacing w:line="252" w:lineRule="auto"/>
        <w:jc w:val="center"/>
        <w:rPr>
          <w:b/>
          <w:bCs/>
          <w:color w:val="FF0000"/>
          <w:szCs w:val="16"/>
        </w:rPr>
      </w:pPr>
      <w:r>
        <w:rPr>
          <w:b/>
          <w:bCs/>
          <w:noProof/>
          <w:color w:val="FF0000"/>
          <w:szCs w:val="16"/>
        </w:rPr>
        <w:drawing>
          <wp:inline distT="0" distB="0" distL="0" distR="0" wp14:anchorId="4E915773" wp14:editId="38D4C440">
            <wp:extent cx="2990850" cy="286266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18038" cy="2888687"/>
                    </a:xfrm>
                    <a:prstGeom prst="rect">
                      <a:avLst/>
                    </a:prstGeom>
                    <a:noFill/>
                  </pic:spPr>
                </pic:pic>
              </a:graphicData>
            </a:graphic>
          </wp:inline>
        </w:drawing>
      </w:r>
    </w:p>
    <w:p w14:paraId="59B32D85" w14:textId="77777777" w:rsidR="005D524F" w:rsidRDefault="005D524F" w:rsidP="004520E5">
      <w:pPr>
        <w:spacing w:line="252" w:lineRule="auto"/>
        <w:jc w:val="center"/>
        <w:rPr>
          <w:color w:val="000000" w:themeColor="text1"/>
          <w:szCs w:val="16"/>
        </w:rPr>
      </w:pPr>
      <w:r w:rsidRPr="008B0E54">
        <w:rPr>
          <w:color w:val="000000" w:themeColor="text1"/>
          <w:szCs w:val="16"/>
        </w:rPr>
        <w:t>Figure</w:t>
      </w:r>
      <w:r w:rsidR="00E5720B">
        <w:rPr>
          <w:color w:val="000000" w:themeColor="text1"/>
          <w:szCs w:val="16"/>
        </w:rPr>
        <w:t>2</w:t>
      </w:r>
      <w:r w:rsidRPr="008B0E54">
        <w:rPr>
          <w:color w:val="000000" w:themeColor="text1"/>
          <w:szCs w:val="16"/>
        </w:rPr>
        <w:t xml:space="preserve"> – </w:t>
      </w:r>
      <w:r w:rsidR="00A42D90" w:rsidRPr="008B0E54">
        <w:rPr>
          <w:color w:val="000000" w:themeColor="text1"/>
          <w:szCs w:val="16"/>
        </w:rPr>
        <w:t xml:space="preserve">AIP </w:t>
      </w:r>
      <w:r w:rsidRPr="008B0E54">
        <w:rPr>
          <w:color w:val="000000" w:themeColor="text1"/>
          <w:szCs w:val="16"/>
        </w:rPr>
        <w:t xml:space="preserve">SoP </w:t>
      </w:r>
      <w:r w:rsidR="00D222AF" w:rsidRPr="008B0E54">
        <w:rPr>
          <w:color w:val="000000" w:themeColor="text1"/>
          <w:szCs w:val="16"/>
        </w:rPr>
        <w:t>CSP IC</w:t>
      </w:r>
      <w:r w:rsidR="000C14D3">
        <w:rPr>
          <w:color w:val="000000" w:themeColor="text1"/>
          <w:szCs w:val="16"/>
        </w:rPr>
        <w:t>. CSP IC + bumps hav</w:t>
      </w:r>
      <w:r w:rsidR="00F716EA">
        <w:rPr>
          <w:color w:val="000000" w:themeColor="text1"/>
          <w:szCs w:val="16"/>
        </w:rPr>
        <w:t>e a total thickness of less than</w:t>
      </w:r>
      <w:r w:rsidR="000C14D3">
        <w:rPr>
          <w:color w:val="000000" w:themeColor="text1"/>
          <w:szCs w:val="16"/>
        </w:rPr>
        <w:t xml:space="preserve"> 45um</w:t>
      </w:r>
    </w:p>
    <w:p w14:paraId="49E6243A" w14:textId="77777777" w:rsidR="004679C1" w:rsidRDefault="004679C1" w:rsidP="00A92DC0">
      <w:pPr>
        <w:spacing w:line="252" w:lineRule="auto"/>
        <w:jc w:val="center"/>
        <w:rPr>
          <w:color w:val="000000" w:themeColor="text1"/>
          <w:szCs w:val="16"/>
        </w:rPr>
      </w:pPr>
    </w:p>
    <w:p w14:paraId="1D08A7E7" w14:textId="2401CBEE" w:rsidR="00DF28CD" w:rsidRDefault="00D35D5C" w:rsidP="00A92DC0">
      <w:pPr>
        <w:spacing w:line="252" w:lineRule="auto"/>
        <w:rPr>
          <w:color w:val="000000" w:themeColor="text1"/>
          <w:szCs w:val="16"/>
        </w:rPr>
      </w:pPr>
      <w:r>
        <w:rPr>
          <w:color w:val="000000" w:themeColor="text1"/>
          <w:szCs w:val="16"/>
        </w:rPr>
        <w:t>Die protection has been a challenge for CSP/FI die particularly for thinner die.  T</w:t>
      </w:r>
      <w:r w:rsidR="004679C1">
        <w:rPr>
          <w:color w:val="000000" w:themeColor="text1"/>
          <w:szCs w:val="16"/>
        </w:rPr>
        <w:t xml:space="preserve">he SoP process provides die protection in 2 </w:t>
      </w:r>
      <w:r w:rsidR="00A00B3C">
        <w:rPr>
          <w:color w:val="000000" w:themeColor="text1"/>
          <w:szCs w:val="16"/>
        </w:rPr>
        <w:t xml:space="preserve">sides </w:t>
      </w:r>
      <w:r w:rsidR="004679C1">
        <w:rPr>
          <w:color w:val="000000" w:themeColor="text1"/>
          <w:szCs w:val="16"/>
        </w:rPr>
        <w:t xml:space="preserve">(top and bottom) or 6 sides (top, bottom and sides).  </w:t>
      </w:r>
      <w:r w:rsidR="00B07E79">
        <w:rPr>
          <w:color w:val="000000" w:themeColor="text1"/>
          <w:szCs w:val="16"/>
        </w:rPr>
        <w:t xml:space="preserve">The </w:t>
      </w:r>
      <w:r w:rsidR="00DF28CD">
        <w:rPr>
          <w:color w:val="000000" w:themeColor="text1"/>
          <w:szCs w:val="16"/>
        </w:rPr>
        <w:t>novel 2-sided CSP polymer coating</w:t>
      </w:r>
      <w:r w:rsidR="00B07E79">
        <w:rPr>
          <w:color w:val="000000" w:themeColor="text1"/>
          <w:szCs w:val="16"/>
        </w:rPr>
        <w:t xml:space="preserve"> enabled extreme thinning of CMOS devices. It is now common to thin bulk silicon ICs </w:t>
      </w:r>
      <w:r w:rsidR="00432FD9">
        <w:rPr>
          <w:color w:val="000000" w:themeColor="text1"/>
          <w:szCs w:val="16"/>
        </w:rPr>
        <w:t xml:space="preserve">in SoP </w:t>
      </w:r>
      <w:r w:rsidR="00B07E79">
        <w:rPr>
          <w:color w:val="000000" w:themeColor="text1"/>
          <w:szCs w:val="16"/>
        </w:rPr>
        <w:t xml:space="preserve">to as little as 2um of silicon and retain the ability to handle and process them as individual chips with little concern for die cracking and edge chipping. </w:t>
      </w:r>
      <w:r w:rsidR="006F6839">
        <w:rPr>
          <w:color w:val="000000" w:themeColor="text1"/>
          <w:szCs w:val="16"/>
        </w:rPr>
        <w:t>In addition to being extremely thin, the device</w:t>
      </w:r>
      <w:r w:rsidR="0055758C">
        <w:rPr>
          <w:color w:val="000000" w:themeColor="text1"/>
          <w:szCs w:val="16"/>
        </w:rPr>
        <w:t>s</w:t>
      </w:r>
      <w:r w:rsidR="006F6839">
        <w:rPr>
          <w:color w:val="000000" w:themeColor="text1"/>
          <w:szCs w:val="16"/>
        </w:rPr>
        <w:t xml:space="preserve"> with silicon thicknesses less than 15um have proven to have a high degree of</w:t>
      </w:r>
      <w:r w:rsidR="00A20F09">
        <w:rPr>
          <w:color w:val="000000" w:themeColor="text1"/>
          <w:szCs w:val="16"/>
        </w:rPr>
        <w:t xml:space="preserve"> physical </w:t>
      </w:r>
      <w:r w:rsidR="006F6839">
        <w:rPr>
          <w:color w:val="000000" w:themeColor="text1"/>
          <w:szCs w:val="16"/>
        </w:rPr>
        <w:t xml:space="preserve">flexibility that has been proposed as a reliability improvement for systems that utilize thin-PCBs subject to physical deformation. </w:t>
      </w:r>
      <w:r w:rsidR="004679C1">
        <w:rPr>
          <w:color w:val="000000" w:themeColor="text1"/>
          <w:szCs w:val="16"/>
        </w:rPr>
        <w:t>This protection has been demonstrated in the improve</w:t>
      </w:r>
      <w:r w:rsidR="00BD3351">
        <w:rPr>
          <w:color w:val="000000" w:themeColor="text1"/>
          <w:szCs w:val="16"/>
        </w:rPr>
        <w:t>d</w:t>
      </w:r>
      <w:r w:rsidR="004679C1">
        <w:rPr>
          <w:color w:val="000000" w:themeColor="text1"/>
          <w:szCs w:val="16"/>
        </w:rPr>
        <w:t xml:space="preserve"> die strength noted in earlier publications.</w:t>
      </w:r>
      <w:r>
        <w:rPr>
          <w:color w:val="000000" w:themeColor="text1"/>
          <w:szCs w:val="16"/>
        </w:rPr>
        <w:t>[2]</w:t>
      </w:r>
      <w:r w:rsidR="00F716EA">
        <w:rPr>
          <w:color w:val="000000" w:themeColor="text1"/>
          <w:szCs w:val="16"/>
        </w:rPr>
        <w:t xml:space="preserve"> </w:t>
      </w:r>
      <w:r w:rsidR="0055758C">
        <w:rPr>
          <w:color w:val="000000" w:themeColor="text1"/>
          <w:szCs w:val="16"/>
        </w:rPr>
        <w:t>T</w:t>
      </w:r>
      <w:r w:rsidR="006F6839">
        <w:rPr>
          <w:color w:val="000000" w:themeColor="text1"/>
          <w:szCs w:val="16"/>
        </w:rPr>
        <w:t xml:space="preserve">he next-generation of the SoP </w:t>
      </w:r>
      <w:r w:rsidR="00A20F09">
        <w:rPr>
          <w:color w:val="000000" w:themeColor="text1"/>
          <w:szCs w:val="16"/>
        </w:rPr>
        <w:t xml:space="preserve">WLCSP </w:t>
      </w:r>
      <w:r w:rsidR="006F6839">
        <w:rPr>
          <w:color w:val="000000" w:themeColor="text1"/>
          <w:szCs w:val="16"/>
        </w:rPr>
        <w:t>proces</w:t>
      </w:r>
      <w:r w:rsidR="000F4507">
        <w:rPr>
          <w:color w:val="000000" w:themeColor="text1"/>
          <w:szCs w:val="16"/>
        </w:rPr>
        <w:t>s includes 6-side polymer protection</w:t>
      </w:r>
      <w:r w:rsidR="006F6839">
        <w:rPr>
          <w:color w:val="000000" w:themeColor="text1"/>
          <w:szCs w:val="16"/>
        </w:rPr>
        <w:t>.</w:t>
      </w:r>
    </w:p>
    <w:p w14:paraId="701E12CB" w14:textId="77777777" w:rsidR="00A46643" w:rsidRDefault="00A46643" w:rsidP="00A92DC0">
      <w:pPr>
        <w:spacing w:line="252" w:lineRule="auto"/>
        <w:rPr>
          <w:color w:val="000000" w:themeColor="text1"/>
          <w:szCs w:val="16"/>
        </w:rPr>
      </w:pPr>
    </w:p>
    <w:p w14:paraId="4CC3F9B2" w14:textId="565072EA" w:rsidR="00DF28CD" w:rsidRPr="008B0E54" w:rsidRDefault="00DF28CD" w:rsidP="00DF28CD">
      <w:pPr>
        <w:rPr>
          <w:color w:val="000000" w:themeColor="text1"/>
          <w:szCs w:val="16"/>
        </w:rPr>
      </w:pPr>
      <w:r>
        <w:rPr>
          <w:color w:val="000000" w:themeColor="text1"/>
          <w:szCs w:val="16"/>
        </w:rPr>
        <w:t>Various approaches have been used to improve reliability for CSP/FI packages.  They include 2</w:t>
      </w:r>
      <w:r w:rsidR="0055758C">
        <w:rPr>
          <w:color w:val="000000" w:themeColor="text1"/>
          <w:szCs w:val="16"/>
        </w:rPr>
        <w:t>-</w:t>
      </w:r>
      <w:r>
        <w:rPr>
          <w:color w:val="000000" w:themeColor="text1"/>
          <w:szCs w:val="16"/>
        </w:rPr>
        <w:t>sided d</w:t>
      </w:r>
      <w:r w:rsidR="00F716EA">
        <w:rPr>
          <w:color w:val="000000" w:themeColor="text1"/>
          <w:szCs w:val="16"/>
        </w:rPr>
        <w:t xml:space="preserve">ie with tape backside protection </w:t>
      </w:r>
      <w:r>
        <w:rPr>
          <w:color w:val="000000" w:themeColor="text1"/>
          <w:szCs w:val="16"/>
        </w:rPr>
        <w:t>[3] and 4</w:t>
      </w:r>
      <w:r w:rsidR="0055758C">
        <w:rPr>
          <w:color w:val="000000" w:themeColor="text1"/>
          <w:szCs w:val="16"/>
        </w:rPr>
        <w:t>-</w:t>
      </w:r>
      <w:r>
        <w:rPr>
          <w:color w:val="000000" w:themeColor="text1"/>
          <w:szCs w:val="16"/>
        </w:rPr>
        <w:t>sided molded sidewall protection was proposed but was implemented as 5 [4] or 6 sided [5] epoxy protection.  The 6</w:t>
      </w:r>
      <w:r w:rsidR="0055758C">
        <w:rPr>
          <w:color w:val="000000" w:themeColor="text1"/>
          <w:szCs w:val="16"/>
        </w:rPr>
        <w:t>-</w:t>
      </w:r>
      <w:r>
        <w:rPr>
          <w:color w:val="000000" w:themeColor="text1"/>
          <w:szCs w:val="16"/>
        </w:rPr>
        <w:t xml:space="preserve">sided epoxy protection has been implemented to improve reliability of a FI phone component.[6] The SoP polymer protection is </w:t>
      </w:r>
      <w:r w:rsidR="00A46643">
        <w:rPr>
          <w:color w:val="000000" w:themeColor="text1"/>
          <w:szCs w:val="16"/>
        </w:rPr>
        <w:t xml:space="preserve">a </w:t>
      </w:r>
      <w:r>
        <w:rPr>
          <w:color w:val="000000" w:themeColor="text1"/>
          <w:szCs w:val="16"/>
        </w:rPr>
        <w:t xml:space="preserve">simpler </w:t>
      </w:r>
      <w:r w:rsidR="00A46643">
        <w:rPr>
          <w:color w:val="000000" w:themeColor="text1"/>
          <w:szCs w:val="16"/>
        </w:rPr>
        <w:t xml:space="preserve">wafer </w:t>
      </w:r>
      <w:r w:rsidR="0055758C">
        <w:rPr>
          <w:color w:val="000000" w:themeColor="text1"/>
          <w:szCs w:val="16"/>
        </w:rPr>
        <w:t xml:space="preserve">level </w:t>
      </w:r>
      <w:r>
        <w:rPr>
          <w:color w:val="000000" w:themeColor="text1"/>
          <w:szCs w:val="16"/>
        </w:rPr>
        <w:t>process flow and most likely a more cost</w:t>
      </w:r>
      <w:r w:rsidR="00A20F09">
        <w:rPr>
          <w:color w:val="000000" w:themeColor="text1"/>
          <w:szCs w:val="16"/>
        </w:rPr>
        <w:t>-</w:t>
      </w:r>
      <w:r>
        <w:rPr>
          <w:color w:val="000000" w:themeColor="text1"/>
          <w:szCs w:val="16"/>
        </w:rPr>
        <w:t>effect</w:t>
      </w:r>
      <w:r w:rsidR="0055758C">
        <w:rPr>
          <w:color w:val="000000" w:themeColor="text1"/>
          <w:szCs w:val="16"/>
        </w:rPr>
        <w:t>ive</w:t>
      </w:r>
      <w:r>
        <w:rPr>
          <w:color w:val="000000" w:themeColor="text1"/>
          <w:szCs w:val="16"/>
        </w:rPr>
        <w:t xml:space="preserve"> approach to die protection then backside films and molded side protection that h</w:t>
      </w:r>
      <w:r w:rsidR="00A46643">
        <w:rPr>
          <w:color w:val="000000" w:themeColor="text1"/>
          <w:szCs w:val="16"/>
        </w:rPr>
        <w:t>ave been noted above</w:t>
      </w:r>
      <w:r>
        <w:rPr>
          <w:color w:val="000000" w:themeColor="text1"/>
          <w:szCs w:val="16"/>
        </w:rPr>
        <w:t>.</w:t>
      </w:r>
    </w:p>
    <w:p w14:paraId="154EF690" w14:textId="77777777" w:rsidR="00D222AF" w:rsidRPr="005D524F" w:rsidRDefault="00D222AF" w:rsidP="00A92DC0">
      <w:pPr>
        <w:spacing w:line="252" w:lineRule="auto"/>
        <w:rPr>
          <w:color w:val="FF0000"/>
          <w:szCs w:val="16"/>
        </w:rPr>
      </w:pPr>
    </w:p>
    <w:p w14:paraId="11559E13" w14:textId="77777777" w:rsidR="00A92DC0" w:rsidRPr="00A92DC0" w:rsidRDefault="005D524F" w:rsidP="00A92DC0">
      <w:pPr>
        <w:spacing w:line="252" w:lineRule="auto"/>
        <w:rPr>
          <w:b/>
          <w:bCs/>
          <w:sz w:val="24"/>
          <w:szCs w:val="24"/>
        </w:rPr>
      </w:pPr>
      <w:r>
        <w:rPr>
          <w:b/>
          <w:bCs/>
          <w:sz w:val="24"/>
        </w:rPr>
        <w:t xml:space="preserve">III. </w:t>
      </w:r>
      <w:r w:rsidRPr="005D524F">
        <w:rPr>
          <w:b/>
          <w:bCs/>
          <w:sz w:val="24"/>
          <w:szCs w:val="24"/>
        </w:rPr>
        <w:t xml:space="preserve">SoP in ultra-thin </w:t>
      </w:r>
      <w:r w:rsidR="00A00B3C">
        <w:rPr>
          <w:b/>
          <w:bCs/>
          <w:sz w:val="24"/>
          <w:szCs w:val="24"/>
        </w:rPr>
        <w:t xml:space="preserve">FC packaging and </w:t>
      </w:r>
      <w:r w:rsidRPr="005D524F">
        <w:rPr>
          <w:b/>
          <w:bCs/>
          <w:sz w:val="24"/>
          <w:szCs w:val="24"/>
        </w:rPr>
        <w:t>FO</w:t>
      </w:r>
    </w:p>
    <w:p w14:paraId="1C9DF561" w14:textId="04DCA930" w:rsidR="00E5720B" w:rsidRDefault="005D524F" w:rsidP="00E5720B">
      <w:pPr>
        <w:spacing w:before="240" w:after="160" w:line="252" w:lineRule="auto"/>
        <w:rPr>
          <w:rFonts w:eastAsia="Calibri"/>
        </w:rPr>
      </w:pPr>
      <w:r w:rsidRPr="005D524F">
        <w:rPr>
          <w:rFonts w:eastAsia="Calibri"/>
        </w:rPr>
        <w:t xml:space="preserve">SoP chips </w:t>
      </w:r>
      <w:r w:rsidR="00A00B3C">
        <w:rPr>
          <w:rFonts w:eastAsia="Calibri"/>
        </w:rPr>
        <w:t>have been used</w:t>
      </w:r>
      <w:r w:rsidR="001A7A52">
        <w:rPr>
          <w:rFonts w:eastAsia="Calibri"/>
        </w:rPr>
        <w:t xml:space="preserve"> in FC</w:t>
      </w:r>
      <w:r w:rsidRPr="005D524F">
        <w:rPr>
          <w:rFonts w:eastAsia="Calibri"/>
        </w:rPr>
        <w:t xml:space="preserve"> packaging for thin-systems</w:t>
      </w:r>
      <w:r w:rsidR="00A00B3C">
        <w:rPr>
          <w:rFonts w:eastAsia="Calibri"/>
        </w:rPr>
        <w:t xml:space="preserve"> using flex substrates</w:t>
      </w:r>
      <w:r w:rsidRPr="005D524F">
        <w:rPr>
          <w:rFonts w:eastAsia="Calibri"/>
        </w:rPr>
        <w:t>. SoP chip</w:t>
      </w:r>
      <w:r w:rsidR="00A00B3C">
        <w:rPr>
          <w:rFonts w:eastAsia="Calibri"/>
        </w:rPr>
        <w:t xml:space="preserve">s can </w:t>
      </w:r>
      <w:r w:rsidR="00B767A5">
        <w:rPr>
          <w:rFonts w:eastAsia="Calibri"/>
        </w:rPr>
        <w:t xml:space="preserve">also </w:t>
      </w:r>
      <w:r w:rsidR="00A00B3C">
        <w:rPr>
          <w:rFonts w:eastAsia="Calibri"/>
        </w:rPr>
        <w:t>be used in a variety of FC</w:t>
      </w:r>
      <w:r w:rsidRPr="005D524F">
        <w:rPr>
          <w:rFonts w:eastAsia="Calibri"/>
        </w:rPr>
        <w:t xml:space="preserve"> manufacturing processes. One example is the BLE® flexible-hybrid-electronic (FHE) device</w:t>
      </w:r>
      <w:r w:rsidR="00A00B3C">
        <w:rPr>
          <w:rFonts w:eastAsia="Calibri"/>
        </w:rPr>
        <w:t xml:space="preserve">, Figure </w:t>
      </w:r>
      <w:r w:rsidR="00E5720B">
        <w:rPr>
          <w:rFonts w:eastAsia="Calibri"/>
        </w:rPr>
        <w:t>3a-c</w:t>
      </w:r>
      <w:r w:rsidR="003F19F3">
        <w:rPr>
          <w:rFonts w:eastAsia="Calibri"/>
        </w:rPr>
        <w:t xml:space="preserve">. </w:t>
      </w:r>
      <w:r w:rsidR="00E5720B">
        <w:rPr>
          <w:rFonts w:eastAsia="Calibri"/>
        </w:rPr>
        <w:t xml:space="preserve">Nordic’s Bluetooth® SOC shown in Figure 3a is the basis for this assembly. </w:t>
      </w:r>
      <w:r w:rsidR="003F19F3">
        <w:rPr>
          <w:rFonts w:eastAsia="Calibri"/>
        </w:rPr>
        <w:t xml:space="preserve">The pads </w:t>
      </w:r>
      <w:r w:rsidR="00BD6E92">
        <w:rPr>
          <w:rFonts w:eastAsia="Calibri"/>
        </w:rPr>
        <w:t xml:space="preserve">shown on the topside </w:t>
      </w:r>
      <w:r w:rsidR="003F19F3">
        <w:rPr>
          <w:rFonts w:eastAsia="Calibri"/>
        </w:rPr>
        <w:t>of th</w:t>
      </w:r>
      <w:r w:rsidR="00E5720B">
        <w:rPr>
          <w:rFonts w:eastAsia="Calibri"/>
        </w:rPr>
        <w:t>e assembly in Figure 3b</w:t>
      </w:r>
      <w:r w:rsidR="003F19F3">
        <w:rPr>
          <w:rFonts w:eastAsia="Calibri"/>
        </w:rPr>
        <w:t xml:space="preserve"> </w:t>
      </w:r>
      <w:r w:rsidR="00F716EA">
        <w:rPr>
          <w:rFonts w:eastAsia="Calibri"/>
        </w:rPr>
        <w:t>are connected in</w:t>
      </w:r>
      <w:r w:rsidR="004520E5">
        <w:rPr>
          <w:rFonts w:eastAsia="Calibri"/>
        </w:rPr>
        <w:t xml:space="preserve"> FHE </w:t>
      </w:r>
      <w:r w:rsidR="00A20F09">
        <w:rPr>
          <w:rFonts w:eastAsia="Calibri"/>
        </w:rPr>
        <w:t xml:space="preserve">copper on polyimide </w:t>
      </w:r>
      <w:r w:rsidR="004520E5">
        <w:rPr>
          <w:rFonts w:eastAsia="Calibri"/>
        </w:rPr>
        <w:t xml:space="preserve">conductors in a face up configuration </w:t>
      </w:r>
      <w:r w:rsidR="00A20F09">
        <w:rPr>
          <w:rFonts w:eastAsia="Calibri"/>
        </w:rPr>
        <w:t>with</w:t>
      </w:r>
      <w:r w:rsidR="00F716EA">
        <w:rPr>
          <w:rFonts w:eastAsia="Calibri"/>
        </w:rPr>
        <w:t xml:space="preserve"> </w:t>
      </w:r>
      <w:r w:rsidR="00A20F09">
        <w:rPr>
          <w:rFonts w:eastAsia="Calibri"/>
        </w:rPr>
        <w:t xml:space="preserve">flip-chip </w:t>
      </w:r>
      <w:r w:rsidR="00F716EA">
        <w:rPr>
          <w:rFonts w:eastAsia="Calibri"/>
        </w:rPr>
        <w:t xml:space="preserve">ACF/ACP flex </w:t>
      </w:r>
      <w:r w:rsidR="004520E5">
        <w:rPr>
          <w:rFonts w:eastAsia="Calibri"/>
        </w:rPr>
        <w:t>configu</w:t>
      </w:r>
      <w:r w:rsidR="00A20F09">
        <w:rPr>
          <w:rFonts w:eastAsia="Calibri"/>
        </w:rPr>
        <w:t>r</w:t>
      </w:r>
      <w:r w:rsidR="004520E5">
        <w:rPr>
          <w:rFonts w:eastAsia="Calibri"/>
        </w:rPr>
        <w:t>ation</w:t>
      </w:r>
      <w:r w:rsidR="00F716EA">
        <w:rPr>
          <w:rFonts w:eastAsia="Calibri"/>
        </w:rPr>
        <w:t xml:space="preserve">.  </w:t>
      </w:r>
      <w:r w:rsidR="004520E5">
        <w:rPr>
          <w:rFonts w:eastAsia="Calibri"/>
        </w:rPr>
        <w:t>The flex substrate could</w:t>
      </w:r>
      <w:r w:rsidR="003F19F3">
        <w:rPr>
          <w:rFonts w:eastAsia="Calibri"/>
        </w:rPr>
        <w:t xml:space="preserve"> be exposed on the backside </w:t>
      </w:r>
      <w:r w:rsidR="00A00B3C">
        <w:rPr>
          <w:rFonts w:eastAsia="Calibri"/>
        </w:rPr>
        <w:t>where the</w:t>
      </w:r>
      <w:r w:rsidR="003F19F3">
        <w:rPr>
          <w:rFonts w:eastAsia="Calibri"/>
        </w:rPr>
        <w:t>y</w:t>
      </w:r>
      <w:r w:rsidR="00A00B3C">
        <w:rPr>
          <w:rFonts w:eastAsia="Calibri"/>
        </w:rPr>
        <w:t xml:space="preserve"> could be bumped to produce a </w:t>
      </w:r>
      <w:r w:rsidR="00372538">
        <w:rPr>
          <w:rFonts w:eastAsia="Calibri"/>
        </w:rPr>
        <w:t xml:space="preserve">thin conventional </w:t>
      </w:r>
      <w:r w:rsidR="00A00B3C">
        <w:rPr>
          <w:rFonts w:eastAsia="Calibri"/>
        </w:rPr>
        <w:t>FC-BGA package</w:t>
      </w:r>
      <w:r w:rsidR="00E5720B">
        <w:rPr>
          <w:rFonts w:eastAsia="Calibri"/>
        </w:rPr>
        <w:t xml:space="preserve"> as shown in Figure 3c</w:t>
      </w:r>
      <w:r w:rsidRPr="005D524F">
        <w:rPr>
          <w:rFonts w:eastAsia="Calibri"/>
        </w:rPr>
        <w:t>. In this case, a flip-chip integration of a SoP chip has been applied to a Pyralux® flex interposer for use in wearable and flexible applications. In this implementation DCA includes needleless die eject, pick</w:t>
      </w:r>
      <w:r w:rsidR="003F19F3">
        <w:rPr>
          <w:rFonts w:eastAsia="Calibri"/>
        </w:rPr>
        <w:t>-</w:t>
      </w:r>
      <w:r w:rsidRPr="005D524F">
        <w:rPr>
          <w:rFonts w:eastAsia="Calibri"/>
        </w:rPr>
        <w:t>tip design optimization for ultra-thin devices and ultra-thin flip-chip interconnects using anisotropic conductive adhesives for assembly of</w:t>
      </w:r>
      <w:r w:rsidR="00D35D5C">
        <w:rPr>
          <w:rFonts w:eastAsia="Calibri"/>
        </w:rPr>
        <w:t xml:space="preserve"> micro-bumps as small as 50um. If required t</w:t>
      </w:r>
      <w:r w:rsidRPr="005D524F">
        <w:rPr>
          <w:rFonts w:eastAsia="Calibri"/>
        </w:rPr>
        <w:t xml:space="preserve">hin-device overcoats or laminates that maintain system thinness can be tailored to specific reliability requirements. </w:t>
      </w:r>
    </w:p>
    <w:p w14:paraId="72DB3FBC" w14:textId="77777777" w:rsidR="004520E5" w:rsidRDefault="008048F0" w:rsidP="004520E5">
      <w:pPr>
        <w:spacing w:before="240" w:after="160" w:line="252" w:lineRule="auto"/>
        <w:jc w:val="center"/>
        <w:rPr>
          <w:rFonts w:eastAsia="Calibri"/>
        </w:rPr>
      </w:pPr>
      <w:r>
        <w:rPr>
          <w:rFonts w:eastAsia="Calibri"/>
          <w:noProof/>
        </w:rPr>
        <w:lastRenderedPageBreak/>
        <w:drawing>
          <wp:inline distT="0" distB="0" distL="0" distR="0" wp14:anchorId="55798D30" wp14:editId="332A3E49">
            <wp:extent cx="1215259" cy="1219200"/>
            <wp:effectExtent l="0" t="0" r="3941"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29587" cy="1233575"/>
                    </a:xfrm>
                    <a:prstGeom prst="rect">
                      <a:avLst/>
                    </a:prstGeom>
                    <a:noFill/>
                  </pic:spPr>
                </pic:pic>
              </a:graphicData>
            </a:graphic>
          </wp:inline>
        </w:drawing>
      </w:r>
    </w:p>
    <w:p w14:paraId="602903A9" w14:textId="77777777" w:rsidR="001375F9" w:rsidRPr="004520E5" w:rsidRDefault="001375F9" w:rsidP="004520E5">
      <w:pPr>
        <w:spacing w:before="240" w:after="160" w:line="252" w:lineRule="auto"/>
        <w:jc w:val="center"/>
        <w:rPr>
          <w:rFonts w:eastAsia="Calibri"/>
        </w:rPr>
      </w:pPr>
      <w:r w:rsidRPr="001375F9">
        <w:rPr>
          <w:rFonts w:eastAsia="Calibri"/>
        </w:rPr>
        <w:t xml:space="preserve">Figure </w:t>
      </w:r>
      <w:r w:rsidR="00E5720B">
        <w:rPr>
          <w:rFonts w:eastAsia="Calibri"/>
        </w:rPr>
        <w:t>3</w:t>
      </w:r>
      <w:r w:rsidRPr="001375F9">
        <w:rPr>
          <w:rFonts w:eastAsia="Calibri"/>
        </w:rPr>
        <w:t xml:space="preserve">a - </w:t>
      </w:r>
      <w:r w:rsidRPr="001375F9">
        <w:rPr>
          <w:rFonts w:eastAsiaTheme="minorEastAsia"/>
          <w:color w:val="000000"/>
          <w:kern w:val="24"/>
        </w:rPr>
        <w:t>NRF51 BLE IC</w:t>
      </w:r>
    </w:p>
    <w:p w14:paraId="207E47AF" w14:textId="77777777" w:rsidR="004520E5" w:rsidRDefault="00D222AF" w:rsidP="004520E5">
      <w:pPr>
        <w:spacing w:after="160" w:line="252" w:lineRule="auto"/>
        <w:jc w:val="center"/>
        <w:rPr>
          <w:rFonts w:eastAsia="Calibri"/>
        </w:rPr>
      </w:pPr>
      <w:r w:rsidRPr="00D222AF">
        <w:rPr>
          <w:rFonts w:eastAsia="Calibri"/>
          <w:noProof/>
        </w:rPr>
        <w:drawing>
          <wp:inline distT="0" distB="0" distL="0" distR="0" wp14:anchorId="76A433CF" wp14:editId="14647C5F">
            <wp:extent cx="2550538" cy="2505075"/>
            <wp:effectExtent l="19050" t="0" r="2162"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7137" cy="2531200"/>
                    </a:xfrm>
                    <a:prstGeom prst="rect">
                      <a:avLst/>
                    </a:prstGeom>
                    <a:noFill/>
                  </pic:spPr>
                </pic:pic>
              </a:graphicData>
            </a:graphic>
          </wp:inline>
        </w:drawing>
      </w:r>
    </w:p>
    <w:p w14:paraId="2790BD86" w14:textId="77777777" w:rsidR="005D524F" w:rsidRDefault="005D524F" w:rsidP="004520E5">
      <w:pPr>
        <w:spacing w:after="160" w:line="252" w:lineRule="auto"/>
        <w:jc w:val="center"/>
        <w:rPr>
          <w:rFonts w:eastAsia="Calibri"/>
        </w:rPr>
      </w:pPr>
      <w:r w:rsidRPr="00D222AF">
        <w:rPr>
          <w:rFonts w:eastAsia="Calibri"/>
        </w:rPr>
        <w:t xml:space="preserve">Figure </w:t>
      </w:r>
      <w:r w:rsidR="00E5720B">
        <w:rPr>
          <w:rFonts w:eastAsia="Calibri"/>
        </w:rPr>
        <w:t xml:space="preserve">3b </w:t>
      </w:r>
      <w:r w:rsidRPr="00D222AF">
        <w:rPr>
          <w:rFonts w:eastAsia="Calibri"/>
        </w:rPr>
        <w:t xml:space="preserve">– BLE </w:t>
      </w:r>
      <w:r w:rsidR="00D222AF" w:rsidRPr="00D222AF">
        <w:rPr>
          <w:rFonts w:eastAsia="Calibri"/>
        </w:rPr>
        <w:t>FO Package</w:t>
      </w:r>
      <w:r w:rsidR="002806BC">
        <w:rPr>
          <w:rFonts w:eastAsia="Calibri"/>
        </w:rPr>
        <w:t xml:space="preserve"> (Current frontside            image with FC </w:t>
      </w:r>
      <w:r w:rsidR="001375F9">
        <w:rPr>
          <w:rFonts w:eastAsia="Calibri"/>
        </w:rPr>
        <w:t xml:space="preserve">SoP NRF51 </w:t>
      </w:r>
      <w:r w:rsidR="002806BC">
        <w:rPr>
          <w:rFonts w:eastAsia="Calibri"/>
        </w:rPr>
        <w:t>SOC)</w:t>
      </w:r>
    </w:p>
    <w:p w14:paraId="76C372F3" w14:textId="77777777" w:rsidR="008048F0" w:rsidRDefault="00A57435" w:rsidP="00A92DC0">
      <w:pPr>
        <w:spacing w:after="160" w:line="252" w:lineRule="auto"/>
        <w:jc w:val="center"/>
        <w:rPr>
          <w:rFonts w:eastAsia="Calibri"/>
        </w:rPr>
      </w:pPr>
      <w:r>
        <w:rPr>
          <w:rFonts w:eastAsia="Calibri"/>
          <w:noProof/>
        </w:rPr>
        <w:drawing>
          <wp:inline distT="0" distB="0" distL="0" distR="0" wp14:anchorId="6E03F8D7" wp14:editId="296E3004">
            <wp:extent cx="2247900" cy="2192261"/>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99816" cy="2242892"/>
                    </a:xfrm>
                    <a:prstGeom prst="rect">
                      <a:avLst/>
                    </a:prstGeom>
                    <a:noFill/>
                  </pic:spPr>
                </pic:pic>
              </a:graphicData>
            </a:graphic>
          </wp:inline>
        </w:drawing>
      </w:r>
    </w:p>
    <w:p w14:paraId="431DDA19" w14:textId="77777777" w:rsidR="008048F0" w:rsidRPr="002806BC" w:rsidRDefault="002806BC" w:rsidP="00A92DC0">
      <w:pPr>
        <w:spacing w:after="160" w:line="252" w:lineRule="auto"/>
        <w:jc w:val="center"/>
        <w:rPr>
          <w:rFonts w:eastAsia="Calibri"/>
        </w:rPr>
      </w:pPr>
      <w:r w:rsidRPr="002806BC">
        <w:rPr>
          <w:rFonts w:eastAsia="Calibri"/>
        </w:rPr>
        <w:t xml:space="preserve">Figure </w:t>
      </w:r>
      <w:r w:rsidR="00E5720B">
        <w:rPr>
          <w:rFonts w:eastAsia="Calibri"/>
        </w:rPr>
        <w:t>3c</w:t>
      </w:r>
      <w:r w:rsidRPr="002806BC">
        <w:rPr>
          <w:rFonts w:eastAsia="Calibri"/>
        </w:rPr>
        <w:t xml:space="preserve"> – Backside illustration of BLE FO Package configured for BGA</w:t>
      </w:r>
    </w:p>
    <w:p w14:paraId="6B44DACE" w14:textId="77777777" w:rsidR="00372538" w:rsidRDefault="004520E5" w:rsidP="00A92DC0">
      <w:pPr>
        <w:spacing w:after="160" w:line="252" w:lineRule="auto"/>
        <w:rPr>
          <w:rFonts w:eastAsia="Calibri"/>
        </w:rPr>
      </w:pPr>
      <w:r>
        <w:rPr>
          <w:rFonts w:eastAsia="Calibri"/>
        </w:rPr>
        <w:t>T</w:t>
      </w:r>
      <w:r w:rsidR="005D524F" w:rsidRPr="005D524F">
        <w:rPr>
          <w:rFonts w:eastAsia="Calibri"/>
        </w:rPr>
        <w:t xml:space="preserve">his approach can be expanded to include a variety of FO manufacturing approaches </w:t>
      </w:r>
      <w:r w:rsidR="00D35D5C">
        <w:rPr>
          <w:rFonts w:eastAsia="Calibri"/>
        </w:rPr>
        <w:t xml:space="preserve">where the </w:t>
      </w:r>
      <w:r w:rsidR="003F19F3">
        <w:rPr>
          <w:rFonts w:eastAsia="Calibri"/>
        </w:rPr>
        <w:t>SoP</w:t>
      </w:r>
      <w:r w:rsidR="00D35D5C">
        <w:rPr>
          <w:rFonts w:eastAsia="Calibri"/>
        </w:rPr>
        <w:t xml:space="preserve"> based thin </w:t>
      </w:r>
      <w:r w:rsidR="001D7A82">
        <w:rPr>
          <w:rFonts w:eastAsia="Calibri"/>
        </w:rPr>
        <w:t>chip</w:t>
      </w:r>
      <w:r w:rsidR="00D35D5C">
        <w:rPr>
          <w:rFonts w:eastAsia="Calibri"/>
        </w:rPr>
        <w:t xml:space="preserve">(s) with </w:t>
      </w:r>
      <w:r w:rsidR="00372538">
        <w:rPr>
          <w:rFonts w:eastAsia="Calibri"/>
        </w:rPr>
        <w:t xml:space="preserve">single or </w:t>
      </w:r>
      <w:r w:rsidR="00D35D5C">
        <w:rPr>
          <w:rFonts w:eastAsia="Calibri"/>
        </w:rPr>
        <w:t xml:space="preserve">double sided IO can be incorporated into </w:t>
      </w:r>
      <w:r w:rsidR="00372538">
        <w:rPr>
          <w:rFonts w:eastAsia="Calibri"/>
        </w:rPr>
        <w:t xml:space="preserve">a </w:t>
      </w:r>
      <w:r w:rsidR="00BD6E92">
        <w:rPr>
          <w:rFonts w:eastAsia="Calibri"/>
        </w:rPr>
        <w:t>Package-on-Package (</w:t>
      </w:r>
      <w:proofErr w:type="spellStart"/>
      <w:r w:rsidR="007E2B4E">
        <w:rPr>
          <w:rFonts w:eastAsia="Calibri"/>
        </w:rPr>
        <w:t>PoP</w:t>
      </w:r>
      <w:proofErr w:type="spellEnd"/>
      <w:r w:rsidR="00BD6E92">
        <w:rPr>
          <w:rFonts w:eastAsia="Calibri"/>
        </w:rPr>
        <w:t>)</w:t>
      </w:r>
      <w:r w:rsidR="00372538">
        <w:rPr>
          <w:rFonts w:eastAsia="Calibri"/>
        </w:rPr>
        <w:t xml:space="preserve">assembly flow </w:t>
      </w:r>
      <w:r w:rsidR="007E2B4E">
        <w:rPr>
          <w:rFonts w:eastAsia="Calibri"/>
        </w:rPr>
        <w:t xml:space="preserve">or </w:t>
      </w:r>
      <w:r w:rsidR="00372538">
        <w:rPr>
          <w:rFonts w:eastAsia="Calibri"/>
        </w:rPr>
        <w:t xml:space="preserve">as a stacking </w:t>
      </w:r>
      <w:r w:rsidR="00372538">
        <w:rPr>
          <w:rFonts w:eastAsia="Calibri"/>
        </w:rPr>
        <w:t xml:space="preserve">layer in </w:t>
      </w:r>
      <w:r w:rsidR="007E2B4E">
        <w:rPr>
          <w:rFonts w:eastAsia="Calibri"/>
        </w:rPr>
        <w:t>FO stacks.</w:t>
      </w:r>
      <w:r w:rsidR="00E707AD">
        <w:rPr>
          <w:rFonts w:eastAsia="Calibri"/>
        </w:rPr>
        <w:t>[7</w:t>
      </w:r>
      <w:r w:rsidR="00372538">
        <w:rPr>
          <w:rFonts w:eastAsia="Calibri"/>
        </w:rPr>
        <w:t>]</w:t>
      </w:r>
      <w:r w:rsidR="007E2B4E">
        <w:rPr>
          <w:rFonts w:eastAsia="Calibri"/>
        </w:rPr>
        <w:t xml:space="preserve">   In addition this approach </w:t>
      </w:r>
      <w:r w:rsidR="005D524F" w:rsidRPr="005D524F">
        <w:rPr>
          <w:rFonts w:eastAsia="Calibri"/>
        </w:rPr>
        <w:t>can be extended to multi-chip system in package (</w:t>
      </w:r>
      <w:proofErr w:type="spellStart"/>
      <w:r w:rsidR="005D524F" w:rsidRPr="005D524F">
        <w:rPr>
          <w:rFonts w:eastAsia="Calibri"/>
        </w:rPr>
        <w:t>SiP</w:t>
      </w:r>
      <w:proofErr w:type="spellEnd"/>
      <w:r w:rsidR="005D524F" w:rsidRPr="005D524F">
        <w:rPr>
          <w:rFonts w:eastAsia="Calibri"/>
        </w:rPr>
        <w:t xml:space="preserve">). </w:t>
      </w:r>
    </w:p>
    <w:p w14:paraId="4B8AF5FD" w14:textId="77777777" w:rsidR="005D524F" w:rsidRPr="005D524F" w:rsidRDefault="005D524F" w:rsidP="00A92DC0">
      <w:pPr>
        <w:spacing w:after="160" w:line="252" w:lineRule="auto"/>
        <w:rPr>
          <w:rFonts w:eastAsia="Calibri"/>
        </w:rPr>
      </w:pPr>
      <w:r w:rsidRPr="005D524F">
        <w:rPr>
          <w:rFonts w:eastAsia="Calibri"/>
        </w:rPr>
        <w:t>A key area of difficulty in the packaging of thin chips is the impact on yield from removal of the individual chips from dicing tape. This is most significant in multi-chip assemblies were failure of any one chip will results in system failure.  Die cracking and edge chipping are common problems inherent in thin-die. The use of SoP significantly improves die strength and when coupled with needleless chip</w:t>
      </w:r>
      <w:r w:rsidR="00F120EE">
        <w:rPr>
          <w:rFonts w:eastAsia="Calibri"/>
        </w:rPr>
        <w:t xml:space="preserve"> </w:t>
      </w:r>
      <w:r w:rsidRPr="005D524F">
        <w:rPr>
          <w:rFonts w:eastAsia="Calibri"/>
        </w:rPr>
        <w:t xml:space="preserve">pick can provide improved manufacturability for </w:t>
      </w:r>
      <w:proofErr w:type="spellStart"/>
      <w:r w:rsidRPr="005D524F">
        <w:rPr>
          <w:rFonts w:eastAsia="Calibri"/>
        </w:rPr>
        <w:t>SiP</w:t>
      </w:r>
      <w:proofErr w:type="spellEnd"/>
      <w:r w:rsidR="00E5720B">
        <w:rPr>
          <w:rFonts w:eastAsia="Calibri"/>
        </w:rPr>
        <w:t xml:space="preserve"> and HI</w:t>
      </w:r>
      <w:r w:rsidRPr="005D524F">
        <w:rPr>
          <w:rFonts w:eastAsia="Calibri"/>
        </w:rPr>
        <w:t>.</w:t>
      </w:r>
    </w:p>
    <w:p w14:paraId="2D0BCD25" w14:textId="77777777" w:rsidR="00A92DC0" w:rsidRDefault="005D524F" w:rsidP="00A92DC0">
      <w:pPr>
        <w:spacing w:after="160" w:line="252" w:lineRule="auto"/>
        <w:rPr>
          <w:rFonts w:eastAsia="Calibri"/>
          <w:b/>
          <w:bCs/>
          <w:sz w:val="24"/>
          <w:szCs w:val="24"/>
        </w:rPr>
      </w:pPr>
      <w:r>
        <w:rPr>
          <w:rFonts w:eastAsia="Calibri"/>
          <w:b/>
          <w:bCs/>
          <w:sz w:val="24"/>
          <w:szCs w:val="24"/>
        </w:rPr>
        <w:t xml:space="preserve">IV. </w:t>
      </w:r>
      <w:r w:rsidR="00A92DC0">
        <w:rPr>
          <w:rFonts w:eastAsia="Calibri"/>
          <w:b/>
          <w:bCs/>
          <w:sz w:val="24"/>
          <w:szCs w:val="24"/>
        </w:rPr>
        <w:t xml:space="preserve">SoP FC and </w:t>
      </w:r>
      <w:r w:rsidRPr="005D524F">
        <w:rPr>
          <w:rFonts w:eastAsia="Calibri"/>
          <w:b/>
          <w:bCs/>
          <w:sz w:val="24"/>
          <w:szCs w:val="24"/>
        </w:rPr>
        <w:t>AIP</w:t>
      </w:r>
    </w:p>
    <w:p w14:paraId="38C9BCF0" w14:textId="77777777" w:rsidR="002B56D2" w:rsidRDefault="00372538" w:rsidP="00A92DC0">
      <w:pPr>
        <w:spacing w:after="160" w:line="252" w:lineRule="auto"/>
        <w:rPr>
          <w:rFonts w:eastAsia="Calibri"/>
        </w:rPr>
      </w:pPr>
      <w:r>
        <w:rPr>
          <w:rFonts w:eastAsia="Calibri"/>
        </w:rPr>
        <w:t xml:space="preserve">SoP </w:t>
      </w:r>
      <w:r w:rsidR="00E5720B">
        <w:rPr>
          <w:rFonts w:eastAsia="Calibri"/>
        </w:rPr>
        <w:t xml:space="preserve">FC </w:t>
      </w:r>
      <w:r w:rsidR="005D524F" w:rsidRPr="005D524F">
        <w:rPr>
          <w:rFonts w:eastAsia="Calibri"/>
        </w:rPr>
        <w:t>with antenna integration has been demonstrated for NFC and Bluetooth® systems. One of the earliest demonstrations is the implementation of AIP for ultra-thin data logger applications</w:t>
      </w:r>
      <w:r>
        <w:rPr>
          <w:rFonts w:eastAsia="Calibri"/>
        </w:rPr>
        <w:t xml:space="preserve">, Figure </w:t>
      </w:r>
      <w:r w:rsidR="00BE5AA0">
        <w:rPr>
          <w:rFonts w:eastAsia="Calibri"/>
        </w:rPr>
        <w:t>4</w:t>
      </w:r>
      <w:r w:rsidR="005D524F" w:rsidRPr="005D524F">
        <w:rPr>
          <w:rFonts w:eastAsia="Calibri"/>
        </w:rPr>
        <w:t xml:space="preserve">.  In this case a SoP SOC (system-on-chip) is DCA assembled on substrate with the 13.56 MHz antenna </w:t>
      </w:r>
      <w:r w:rsidR="00EB364D">
        <w:rPr>
          <w:rFonts w:eastAsia="Calibri"/>
        </w:rPr>
        <w:t xml:space="preserve">(used for NFC-near field communication applications) </w:t>
      </w:r>
      <w:r w:rsidR="005D524F" w:rsidRPr="005D524F">
        <w:rPr>
          <w:rFonts w:eastAsia="Calibri"/>
        </w:rPr>
        <w:t xml:space="preserve">with </w:t>
      </w:r>
      <w:r>
        <w:rPr>
          <w:rFonts w:eastAsia="Calibri"/>
        </w:rPr>
        <w:t>pads</w:t>
      </w:r>
      <w:r w:rsidR="005D524F" w:rsidRPr="005D524F">
        <w:rPr>
          <w:rFonts w:eastAsia="Calibri"/>
        </w:rPr>
        <w:t xml:space="preserve"> for </w:t>
      </w:r>
      <w:r w:rsidR="00E707AD">
        <w:rPr>
          <w:rFonts w:eastAsia="Calibri"/>
        </w:rPr>
        <w:t xml:space="preserve">external </w:t>
      </w:r>
      <w:r w:rsidR="005D524F" w:rsidRPr="005D524F">
        <w:rPr>
          <w:rFonts w:eastAsia="Calibri"/>
        </w:rPr>
        <w:t>antenna, power and ground connections</w:t>
      </w:r>
      <w:r w:rsidR="004860D4">
        <w:rPr>
          <w:rFonts w:eastAsia="Calibri"/>
        </w:rPr>
        <w:t>.</w:t>
      </w:r>
    </w:p>
    <w:p w14:paraId="2E621B61" w14:textId="77777777" w:rsidR="00EB364D" w:rsidRDefault="00B27E15" w:rsidP="004520E5">
      <w:pPr>
        <w:spacing w:after="160" w:line="252" w:lineRule="auto"/>
        <w:jc w:val="center"/>
        <w:rPr>
          <w:rFonts w:eastAsia="Calibri"/>
          <w:color w:val="000000" w:themeColor="text1"/>
        </w:rPr>
      </w:pPr>
      <w:r>
        <w:rPr>
          <w:rFonts w:eastAsia="Calibri"/>
          <w:noProof/>
          <w:color w:val="FF0000"/>
        </w:rPr>
        <w:drawing>
          <wp:inline distT="0" distB="0" distL="0" distR="0" wp14:anchorId="0334D01D" wp14:editId="1C20A707">
            <wp:extent cx="2947758" cy="2047875"/>
            <wp:effectExtent l="19050" t="0" r="4992"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4810" cy="2094458"/>
                    </a:xfrm>
                    <a:prstGeom prst="rect">
                      <a:avLst/>
                    </a:prstGeom>
                    <a:noFill/>
                  </pic:spPr>
                </pic:pic>
              </a:graphicData>
            </a:graphic>
          </wp:inline>
        </w:drawing>
      </w:r>
    </w:p>
    <w:p w14:paraId="04C12A10" w14:textId="77777777" w:rsidR="002B56D2" w:rsidRPr="004520E5" w:rsidRDefault="002B56D2" w:rsidP="004520E5">
      <w:pPr>
        <w:spacing w:after="160" w:line="252" w:lineRule="auto"/>
        <w:jc w:val="center"/>
        <w:rPr>
          <w:rFonts w:eastAsia="Calibri"/>
          <w:color w:val="FF0000"/>
        </w:rPr>
      </w:pPr>
      <w:r w:rsidRPr="008B0E54">
        <w:rPr>
          <w:rFonts w:eastAsia="Calibri"/>
          <w:color w:val="000000" w:themeColor="text1"/>
        </w:rPr>
        <w:t xml:space="preserve">Figure </w:t>
      </w:r>
      <w:r w:rsidR="00BE5AA0">
        <w:rPr>
          <w:rFonts w:eastAsia="Calibri"/>
          <w:color w:val="000000" w:themeColor="text1"/>
        </w:rPr>
        <w:t>4</w:t>
      </w:r>
      <w:r w:rsidRPr="008B0E54">
        <w:rPr>
          <w:rFonts w:eastAsia="Calibri"/>
          <w:color w:val="000000" w:themeColor="text1"/>
        </w:rPr>
        <w:t xml:space="preserve"> – AIP panel prior to encapsulation</w:t>
      </w:r>
    </w:p>
    <w:p w14:paraId="017768C8" w14:textId="13018223" w:rsidR="004860D4" w:rsidRDefault="004860D4" w:rsidP="00A92DC0">
      <w:pPr>
        <w:spacing w:after="160" w:line="252" w:lineRule="auto"/>
        <w:rPr>
          <w:rFonts w:eastAsia="Calibri"/>
          <w:color w:val="000000" w:themeColor="text1"/>
        </w:rPr>
      </w:pPr>
      <w:r w:rsidRPr="004860D4">
        <w:rPr>
          <w:rFonts w:eastAsia="Calibri"/>
          <w:color w:val="000000" w:themeColor="text1"/>
        </w:rPr>
        <w:t xml:space="preserve">In this application, the thin AIP device is laminated between a graphic protective layer and a thin flexible battery to support data loggers that can be applied to individual items such as vaccine vials shown in Figure </w:t>
      </w:r>
      <w:r w:rsidR="00BE5AA0">
        <w:rPr>
          <w:rFonts w:eastAsia="Calibri"/>
          <w:color w:val="000000" w:themeColor="text1"/>
        </w:rPr>
        <w:t>5</w:t>
      </w:r>
      <w:r w:rsidRPr="004860D4">
        <w:rPr>
          <w:rFonts w:eastAsia="Calibri"/>
          <w:color w:val="000000" w:themeColor="text1"/>
        </w:rPr>
        <w:t>.</w:t>
      </w:r>
      <w:r>
        <w:rPr>
          <w:rFonts w:eastAsia="Calibri"/>
          <w:color w:val="000000" w:themeColor="text1"/>
        </w:rPr>
        <w:t xml:space="preserve"> This pack</w:t>
      </w:r>
      <w:r w:rsidR="00EE403A">
        <w:rPr>
          <w:rFonts w:eastAsia="Calibri"/>
          <w:color w:val="000000" w:themeColor="text1"/>
        </w:rPr>
        <w:t>age innovation results in the ability to apply SOC capability including ARM core, flash memory, temperature sensor</w:t>
      </w:r>
      <w:r w:rsidR="002A74BB">
        <w:rPr>
          <w:rFonts w:eastAsia="Calibri"/>
          <w:color w:val="000000" w:themeColor="text1"/>
        </w:rPr>
        <w:t>,</w:t>
      </w:r>
      <w:r w:rsidR="00A20F09">
        <w:rPr>
          <w:rFonts w:eastAsia="Calibri"/>
          <w:color w:val="000000" w:themeColor="text1"/>
        </w:rPr>
        <w:t xml:space="preserve"> </w:t>
      </w:r>
      <w:r w:rsidR="002A74BB">
        <w:rPr>
          <w:rFonts w:eastAsia="Calibri"/>
          <w:color w:val="000000" w:themeColor="text1"/>
        </w:rPr>
        <w:t xml:space="preserve">antenna and a </w:t>
      </w:r>
      <w:r w:rsidR="008048F0">
        <w:rPr>
          <w:rFonts w:eastAsia="Calibri"/>
          <w:color w:val="000000" w:themeColor="text1"/>
        </w:rPr>
        <w:t xml:space="preserve">thin flexible </w:t>
      </w:r>
      <w:r w:rsidR="002A74BB">
        <w:rPr>
          <w:rFonts w:eastAsia="Calibri"/>
          <w:color w:val="000000" w:themeColor="text1"/>
        </w:rPr>
        <w:t xml:space="preserve">battery </w:t>
      </w:r>
      <w:r w:rsidR="00EE403A">
        <w:rPr>
          <w:rFonts w:eastAsia="Calibri"/>
          <w:color w:val="000000" w:themeColor="text1"/>
        </w:rPr>
        <w:t xml:space="preserve">in a device that can be applied like a label to provide user cell-phone temperature verification </w:t>
      </w:r>
      <w:r w:rsidR="002A74BB">
        <w:rPr>
          <w:rFonts w:eastAsia="Calibri"/>
          <w:color w:val="000000" w:themeColor="text1"/>
        </w:rPr>
        <w:t xml:space="preserve">of </w:t>
      </w:r>
      <w:r w:rsidR="00EE403A">
        <w:rPr>
          <w:rFonts w:eastAsia="Calibri"/>
          <w:color w:val="000000" w:themeColor="text1"/>
        </w:rPr>
        <w:t xml:space="preserve">efficacy </w:t>
      </w:r>
      <w:r w:rsidR="002A74BB">
        <w:rPr>
          <w:rFonts w:eastAsia="Calibri"/>
          <w:color w:val="000000" w:themeColor="text1"/>
        </w:rPr>
        <w:t xml:space="preserve">related to </w:t>
      </w:r>
      <w:r w:rsidR="00EE403A">
        <w:rPr>
          <w:rFonts w:eastAsia="Calibri"/>
          <w:color w:val="000000" w:themeColor="text1"/>
        </w:rPr>
        <w:t>temperature sensitiv</w:t>
      </w:r>
      <w:r w:rsidR="002A74BB">
        <w:rPr>
          <w:rFonts w:eastAsia="Calibri"/>
          <w:color w:val="000000" w:themeColor="text1"/>
        </w:rPr>
        <w:t xml:space="preserve">e </w:t>
      </w:r>
      <w:r w:rsidR="00EE403A">
        <w:rPr>
          <w:rFonts w:eastAsia="Calibri"/>
          <w:color w:val="000000" w:themeColor="text1"/>
        </w:rPr>
        <w:t xml:space="preserve">pharmaceuticals </w:t>
      </w:r>
      <w:r w:rsidR="002A74BB">
        <w:rPr>
          <w:rFonts w:eastAsia="Calibri"/>
          <w:color w:val="000000" w:themeColor="text1"/>
        </w:rPr>
        <w:t xml:space="preserve">and </w:t>
      </w:r>
      <w:r w:rsidR="00EE403A">
        <w:rPr>
          <w:rFonts w:eastAsia="Calibri"/>
          <w:color w:val="000000" w:themeColor="text1"/>
        </w:rPr>
        <w:t>anti-counterfei</w:t>
      </w:r>
      <w:r w:rsidR="002A74BB">
        <w:rPr>
          <w:rFonts w:eastAsia="Calibri"/>
          <w:color w:val="000000" w:themeColor="text1"/>
        </w:rPr>
        <w:t>t authentication.</w:t>
      </w:r>
      <w:r w:rsidR="00EB364D">
        <w:rPr>
          <w:rFonts w:eastAsia="Calibri"/>
          <w:color w:val="000000" w:themeColor="text1"/>
        </w:rPr>
        <w:t xml:space="preserve">  In addition</w:t>
      </w:r>
      <w:r w:rsidR="00A20F09">
        <w:rPr>
          <w:rFonts w:eastAsia="Calibri"/>
          <w:color w:val="000000" w:themeColor="text1"/>
        </w:rPr>
        <w:t>ally,</w:t>
      </w:r>
      <w:r w:rsidR="00EB364D">
        <w:rPr>
          <w:rFonts w:eastAsia="Calibri"/>
          <w:color w:val="000000" w:themeColor="text1"/>
        </w:rPr>
        <w:t xml:space="preserve"> these can also be used without batteries for applications such as </w:t>
      </w:r>
      <w:r w:rsidR="00A20F09">
        <w:rPr>
          <w:rFonts w:eastAsia="Calibri"/>
          <w:color w:val="000000" w:themeColor="text1"/>
        </w:rPr>
        <w:t xml:space="preserve">embedded anti-counterfeit, </w:t>
      </w:r>
      <w:r w:rsidR="00EB364D">
        <w:rPr>
          <w:rFonts w:eastAsia="Calibri"/>
          <w:color w:val="000000" w:themeColor="text1"/>
        </w:rPr>
        <w:t>business cards and wearable temperature sensors.</w:t>
      </w:r>
    </w:p>
    <w:p w14:paraId="32A9504C" w14:textId="77777777" w:rsidR="004860D4" w:rsidRDefault="004860D4" w:rsidP="002A74BB">
      <w:pPr>
        <w:spacing w:after="160" w:line="252" w:lineRule="auto"/>
        <w:jc w:val="center"/>
        <w:rPr>
          <w:rFonts w:eastAsia="Calibri"/>
          <w:color w:val="000000" w:themeColor="text1"/>
        </w:rPr>
      </w:pPr>
      <w:r>
        <w:rPr>
          <w:rFonts w:eastAsia="Calibri"/>
          <w:noProof/>
          <w:color w:val="000000" w:themeColor="text1"/>
        </w:rPr>
        <w:lastRenderedPageBreak/>
        <w:drawing>
          <wp:inline distT="0" distB="0" distL="0" distR="0" wp14:anchorId="2BB47DC1" wp14:editId="46492729">
            <wp:extent cx="2105660" cy="1325212"/>
            <wp:effectExtent l="1905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47792" cy="1351728"/>
                    </a:xfrm>
                    <a:prstGeom prst="rect">
                      <a:avLst/>
                    </a:prstGeom>
                    <a:noFill/>
                  </pic:spPr>
                </pic:pic>
              </a:graphicData>
            </a:graphic>
          </wp:inline>
        </w:drawing>
      </w:r>
    </w:p>
    <w:p w14:paraId="247A4402" w14:textId="77777777" w:rsidR="002A74BB" w:rsidRDefault="002A74BB" w:rsidP="002A74BB">
      <w:pPr>
        <w:spacing w:after="160" w:line="252" w:lineRule="auto"/>
        <w:jc w:val="center"/>
        <w:rPr>
          <w:rFonts w:eastAsia="Calibri"/>
          <w:color w:val="000000" w:themeColor="text1"/>
        </w:rPr>
      </w:pPr>
      <w:r>
        <w:rPr>
          <w:rFonts w:eastAsia="Calibri"/>
          <w:color w:val="000000" w:themeColor="text1"/>
        </w:rPr>
        <w:t xml:space="preserve">Figure </w:t>
      </w:r>
      <w:r w:rsidR="00BE5AA0">
        <w:rPr>
          <w:rFonts w:eastAsia="Calibri"/>
          <w:color w:val="000000" w:themeColor="text1"/>
        </w:rPr>
        <w:t>5</w:t>
      </w:r>
      <w:r>
        <w:rPr>
          <w:rFonts w:eastAsia="Calibri"/>
          <w:color w:val="000000" w:themeColor="text1"/>
        </w:rPr>
        <w:t xml:space="preserve"> – Left: Thin data logger inclusive of SoP AIP, </w:t>
      </w:r>
      <w:proofErr w:type="gramStart"/>
      <w:r>
        <w:rPr>
          <w:rFonts w:eastAsia="Calibri"/>
          <w:color w:val="000000" w:themeColor="text1"/>
        </w:rPr>
        <w:t>Right</w:t>
      </w:r>
      <w:proofErr w:type="gramEnd"/>
      <w:r>
        <w:rPr>
          <w:rFonts w:eastAsia="Calibri"/>
          <w:color w:val="000000" w:themeColor="text1"/>
        </w:rPr>
        <w:t>: Data logger applied to 10 ml vaccine vial.</w:t>
      </w:r>
    </w:p>
    <w:p w14:paraId="018FD6C0" w14:textId="3BEA413F" w:rsidR="00B27E15" w:rsidRDefault="002A74BB" w:rsidP="00A92DC0">
      <w:pPr>
        <w:spacing w:after="160" w:line="252" w:lineRule="auto"/>
        <w:rPr>
          <w:rFonts w:eastAsia="Calibri"/>
          <w:color w:val="000000" w:themeColor="text1"/>
        </w:rPr>
      </w:pPr>
      <w:r>
        <w:rPr>
          <w:rFonts w:eastAsia="Calibri"/>
          <w:color w:val="000000" w:themeColor="text1"/>
        </w:rPr>
        <w:t xml:space="preserve">The flex Bluetooth® </w:t>
      </w:r>
      <w:r w:rsidR="00BE5AA0">
        <w:rPr>
          <w:rFonts w:eastAsia="Calibri"/>
          <w:color w:val="000000" w:themeColor="text1"/>
        </w:rPr>
        <w:t>AIP</w:t>
      </w:r>
      <w:r>
        <w:rPr>
          <w:rFonts w:eastAsia="Calibri"/>
          <w:color w:val="000000" w:themeColor="text1"/>
        </w:rPr>
        <w:t xml:space="preserve"> with</w:t>
      </w:r>
      <w:r w:rsidR="00A20F09">
        <w:rPr>
          <w:rFonts w:eastAsia="Calibri"/>
          <w:color w:val="000000" w:themeColor="text1"/>
        </w:rPr>
        <w:t xml:space="preserve"> </w:t>
      </w:r>
      <w:r>
        <w:rPr>
          <w:rFonts w:eastAsia="Calibri"/>
          <w:color w:val="000000" w:themeColor="text1"/>
        </w:rPr>
        <w:t xml:space="preserve">a </w:t>
      </w:r>
      <w:r w:rsidRPr="002A74BB">
        <w:rPr>
          <w:rFonts w:eastAsia="Calibri"/>
          <w:color w:val="000000" w:themeColor="text1"/>
        </w:rPr>
        <w:t>2.4 GHz</w:t>
      </w:r>
      <w:r w:rsidR="00B27E15" w:rsidRPr="00B27E15">
        <w:rPr>
          <w:rFonts w:eastAsia="Calibri"/>
          <w:color w:val="000000" w:themeColor="text1"/>
        </w:rPr>
        <w:t xml:space="preserve"> antenna</w:t>
      </w:r>
      <w:r>
        <w:rPr>
          <w:rFonts w:eastAsia="Calibri"/>
          <w:color w:val="000000" w:themeColor="text1"/>
        </w:rPr>
        <w:t xml:space="preserve">, SMTs, SoP </w:t>
      </w:r>
      <w:r w:rsidR="00B27E15" w:rsidRPr="00B27E15">
        <w:rPr>
          <w:rFonts w:eastAsia="Calibri"/>
          <w:color w:val="000000" w:themeColor="text1"/>
        </w:rPr>
        <w:t>Bluetooth chip</w:t>
      </w:r>
      <w:r>
        <w:rPr>
          <w:rFonts w:eastAsia="Calibri"/>
          <w:color w:val="000000" w:themeColor="text1"/>
        </w:rPr>
        <w:t xml:space="preserve"> and interconnects is another example as shown in </w:t>
      </w:r>
      <w:r w:rsidR="00B27E15" w:rsidRPr="00B27E15">
        <w:rPr>
          <w:rFonts w:eastAsia="Calibri"/>
          <w:color w:val="000000" w:themeColor="text1"/>
        </w:rPr>
        <w:t xml:space="preserve">Figure </w:t>
      </w:r>
      <w:r w:rsidR="00BE5AA0">
        <w:rPr>
          <w:rFonts w:eastAsia="Calibri"/>
          <w:color w:val="000000" w:themeColor="text1"/>
        </w:rPr>
        <w:t>6a and 6b</w:t>
      </w:r>
      <w:r w:rsidR="00B27E15" w:rsidRPr="00B27E15">
        <w:rPr>
          <w:rFonts w:eastAsia="Calibri"/>
          <w:color w:val="000000" w:themeColor="text1"/>
        </w:rPr>
        <w:t>.</w:t>
      </w:r>
    </w:p>
    <w:p w14:paraId="062E24F2" w14:textId="77777777" w:rsidR="000F4507" w:rsidRDefault="000F4507" w:rsidP="000F4507">
      <w:pPr>
        <w:spacing w:after="160" w:line="252" w:lineRule="auto"/>
        <w:jc w:val="center"/>
        <w:rPr>
          <w:rFonts w:eastAsia="Calibri"/>
        </w:rPr>
      </w:pPr>
      <w:r>
        <w:rPr>
          <w:rFonts w:eastAsia="Calibri"/>
          <w:noProof/>
        </w:rPr>
        <w:drawing>
          <wp:inline distT="0" distB="0" distL="0" distR="0" wp14:anchorId="7F7025C2" wp14:editId="0C6589D4">
            <wp:extent cx="2133600" cy="1818581"/>
            <wp:effectExtent l="1905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42973" cy="1826570"/>
                    </a:xfrm>
                    <a:prstGeom prst="rect">
                      <a:avLst/>
                    </a:prstGeom>
                    <a:noFill/>
                  </pic:spPr>
                </pic:pic>
              </a:graphicData>
            </a:graphic>
          </wp:inline>
        </w:drawing>
      </w:r>
    </w:p>
    <w:p w14:paraId="334C1D4D" w14:textId="77777777" w:rsidR="000F4507" w:rsidRDefault="000F4507" w:rsidP="000F4507">
      <w:pPr>
        <w:spacing w:after="160" w:line="252" w:lineRule="auto"/>
        <w:jc w:val="center"/>
        <w:rPr>
          <w:rFonts w:eastAsia="Calibri"/>
        </w:rPr>
      </w:pPr>
      <w:r>
        <w:rPr>
          <w:rFonts w:eastAsia="Calibri"/>
        </w:rPr>
        <w:t xml:space="preserve">Figure </w:t>
      </w:r>
      <w:r w:rsidR="00EB364D">
        <w:rPr>
          <w:rFonts w:eastAsia="Calibri"/>
        </w:rPr>
        <w:t>6</w:t>
      </w:r>
      <w:r w:rsidR="00A57435">
        <w:rPr>
          <w:rFonts w:eastAsia="Calibri"/>
        </w:rPr>
        <w:t>a</w:t>
      </w:r>
      <w:r>
        <w:rPr>
          <w:rFonts w:eastAsia="Calibri"/>
        </w:rPr>
        <w:t xml:space="preserve"> – BLE SOC, SMTs, Antenna and sensor connections</w:t>
      </w:r>
    </w:p>
    <w:p w14:paraId="0A0CD997" w14:textId="77777777" w:rsidR="008048F0" w:rsidRDefault="008048F0" w:rsidP="000F4507">
      <w:pPr>
        <w:spacing w:after="160" w:line="252" w:lineRule="auto"/>
        <w:jc w:val="center"/>
        <w:rPr>
          <w:rFonts w:eastAsia="Calibri"/>
        </w:rPr>
      </w:pPr>
      <w:r>
        <w:rPr>
          <w:rFonts w:eastAsia="Calibri"/>
          <w:noProof/>
        </w:rPr>
        <w:drawing>
          <wp:inline distT="0" distB="0" distL="0" distR="0" wp14:anchorId="2E65315B" wp14:editId="7B233165">
            <wp:extent cx="1876425" cy="2307086"/>
            <wp:effectExtent l="1905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94692" cy="2329546"/>
                    </a:xfrm>
                    <a:prstGeom prst="rect">
                      <a:avLst/>
                    </a:prstGeom>
                    <a:noFill/>
                  </pic:spPr>
                </pic:pic>
              </a:graphicData>
            </a:graphic>
          </wp:inline>
        </w:drawing>
      </w:r>
    </w:p>
    <w:p w14:paraId="2A043C67" w14:textId="77777777" w:rsidR="00A57435" w:rsidRPr="005D524F" w:rsidRDefault="00EB364D" w:rsidP="000F4507">
      <w:pPr>
        <w:spacing w:after="160" w:line="252" w:lineRule="auto"/>
        <w:jc w:val="center"/>
        <w:rPr>
          <w:rFonts w:eastAsia="Calibri"/>
        </w:rPr>
      </w:pPr>
      <w:r>
        <w:rPr>
          <w:rFonts w:eastAsia="Calibri"/>
        </w:rPr>
        <w:t xml:space="preserve">           Figure 6</w:t>
      </w:r>
      <w:r w:rsidR="00A57435">
        <w:rPr>
          <w:rFonts w:eastAsia="Calibri"/>
        </w:rPr>
        <w:t xml:space="preserve">b – Detailed view of Bluetooth package     FC and SMT  </w:t>
      </w:r>
    </w:p>
    <w:p w14:paraId="7F8E02A2" w14:textId="77777777" w:rsidR="002B56D2" w:rsidRDefault="002B56D2" w:rsidP="00A92DC0">
      <w:pPr>
        <w:spacing w:after="160" w:line="252" w:lineRule="auto"/>
        <w:rPr>
          <w:rFonts w:eastAsia="Calibri"/>
        </w:rPr>
      </w:pPr>
      <w:r>
        <w:rPr>
          <w:rFonts w:eastAsia="Calibri"/>
        </w:rPr>
        <w:t xml:space="preserve">These integrated thin die and antenna assemblies on flex </w:t>
      </w:r>
      <w:r w:rsidR="000F4507">
        <w:rPr>
          <w:rFonts w:eastAsia="Calibri"/>
        </w:rPr>
        <w:t>can incorporate connect</w:t>
      </w:r>
      <w:r w:rsidR="00BE5AA0">
        <w:rPr>
          <w:rFonts w:eastAsia="Calibri"/>
        </w:rPr>
        <w:t>ion</w:t>
      </w:r>
      <w:r w:rsidR="000F4507">
        <w:rPr>
          <w:rFonts w:eastAsia="Calibri"/>
        </w:rPr>
        <w:t>s for power and IO from</w:t>
      </w:r>
      <w:r>
        <w:rPr>
          <w:rFonts w:eastAsia="Calibri"/>
        </w:rPr>
        <w:t xml:space="preserve"> pads on </w:t>
      </w:r>
      <w:r w:rsidR="00372538">
        <w:rPr>
          <w:rFonts w:eastAsia="Calibri"/>
        </w:rPr>
        <w:t>either</w:t>
      </w:r>
      <w:r>
        <w:rPr>
          <w:rFonts w:eastAsia="Calibri"/>
        </w:rPr>
        <w:t xml:space="preserve"> side of the flex for interconnect to other assemblies including other types of IC packages</w:t>
      </w:r>
      <w:r w:rsidR="000F4507">
        <w:rPr>
          <w:rFonts w:eastAsia="Calibri"/>
        </w:rPr>
        <w:t xml:space="preserve"> or modules</w:t>
      </w:r>
      <w:r>
        <w:rPr>
          <w:rFonts w:eastAsia="Calibri"/>
        </w:rPr>
        <w:t xml:space="preserve">.  For </w:t>
      </w:r>
      <w:r w:rsidR="0051162A">
        <w:rPr>
          <w:rFonts w:eastAsia="Calibri"/>
        </w:rPr>
        <w:t>example,</w:t>
      </w:r>
      <w:r>
        <w:rPr>
          <w:rFonts w:eastAsia="Calibri"/>
        </w:rPr>
        <w:t xml:space="preserve"> wireless connectivity could be achieved by attaching to the backside of a current 2</w:t>
      </w:r>
      <w:r w:rsidR="0051162A">
        <w:rPr>
          <w:rFonts w:eastAsia="Calibri"/>
        </w:rPr>
        <w:t>-</w:t>
      </w:r>
      <w:r>
        <w:rPr>
          <w:rFonts w:eastAsia="Calibri"/>
        </w:rPr>
        <w:t>sided FO package</w:t>
      </w:r>
      <w:r w:rsidR="00DF1211">
        <w:rPr>
          <w:rFonts w:eastAsia="Calibri"/>
        </w:rPr>
        <w:t xml:space="preserve"> or other assemblies</w:t>
      </w:r>
      <w:r w:rsidR="000F4507">
        <w:rPr>
          <w:rFonts w:eastAsia="Calibri"/>
        </w:rPr>
        <w:t>.</w:t>
      </w:r>
    </w:p>
    <w:p w14:paraId="060806CA" w14:textId="4F08666F" w:rsidR="002C7682" w:rsidRDefault="00824C62" w:rsidP="00A92DC0">
      <w:pPr>
        <w:pStyle w:val="Heading1"/>
        <w:numPr>
          <w:ilvl w:val="0"/>
          <w:numId w:val="0"/>
        </w:numPr>
        <w:spacing w:line="252" w:lineRule="auto"/>
        <w:jc w:val="left"/>
        <w:rPr>
          <w:b/>
          <w:bCs/>
          <w:smallCaps w:val="0"/>
          <w:sz w:val="24"/>
        </w:rPr>
      </w:pPr>
      <w:r>
        <w:rPr>
          <w:b/>
          <w:bCs/>
          <w:smallCaps w:val="0"/>
          <w:sz w:val="24"/>
        </w:rPr>
        <w:t>V</w:t>
      </w:r>
      <w:r w:rsidR="00176A65">
        <w:rPr>
          <w:b/>
          <w:bCs/>
          <w:smallCaps w:val="0"/>
          <w:sz w:val="24"/>
        </w:rPr>
        <w:t>.</w:t>
      </w:r>
      <w:r w:rsidR="00176A65">
        <w:rPr>
          <w:b/>
          <w:bCs/>
          <w:smallCaps w:val="0"/>
          <w:sz w:val="24"/>
        </w:rPr>
        <w:tab/>
      </w:r>
      <w:bookmarkStart w:id="2" w:name="_Hlk47516200"/>
      <w:r w:rsidR="002C7682">
        <w:rPr>
          <w:b/>
          <w:bCs/>
          <w:smallCaps w:val="0"/>
          <w:sz w:val="24"/>
        </w:rPr>
        <w:t>Conclusion</w:t>
      </w:r>
    </w:p>
    <w:bookmarkEnd w:id="2"/>
    <w:p w14:paraId="7CF92DE6" w14:textId="0EA3F3DD" w:rsidR="002C7682" w:rsidRDefault="008B0E2B" w:rsidP="00A92DC0">
      <w:pPr>
        <w:pStyle w:val="Text"/>
        <w:ind w:firstLine="0"/>
      </w:pPr>
      <w:r>
        <w:t>Ultra</w:t>
      </w:r>
      <w:r w:rsidR="00B07E79">
        <w:t>-</w:t>
      </w:r>
      <w:r>
        <w:t xml:space="preserve">thin die </w:t>
      </w:r>
      <w:proofErr w:type="gramStart"/>
      <w:r>
        <w:t>are</w:t>
      </w:r>
      <w:proofErr w:type="gramEnd"/>
      <w:r>
        <w:t xml:space="preserve"> desirable for attaining thinner packages and provide routes for more space efficient electronic IC packages, assemblies and modules.  Ultra</w:t>
      </w:r>
      <w:r w:rsidR="00B07E79">
        <w:t>-</w:t>
      </w:r>
      <w:r>
        <w:t xml:space="preserve">thin die </w:t>
      </w:r>
      <w:r w:rsidR="00BE5AA0">
        <w:t xml:space="preserve">reliability has </w:t>
      </w:r>
      <w:r>
        <w:t>been a challenge in production</w:t>
      </w:r>
      <w:r w:rsidR="00BE5AA0">
        <w:t xml:space="preserve"> and</w:t>
      </w:r>
      <w:r>
        <w:t xml:space="preserve"> assembly</w:t>
      </w:r>
      <w:r w:rsidR="00BE5AA0">
        <w:t>.</w:t>
      </w:r>
      <w:r w:rsidR="00727242">
        <w:t xml:space="preserve"> </w:t>
      </w:r>
      <w:r w:rsidR="00B07E79">
        <w:t xml:space="preserve">Ultra-thin </w:t>
      </w:r>
      <w:r w:rsidR="00BE5AA0">
        <w:t xml:space="preserve">SoP </w:t>
      </w:r>
      <w:r w:rsidR="00B07E79">
        <w:t>packaged d</w:t>
      </w:r>
      <w:r>
        <w:t xml:space="preserve">ie </w:t>
      </w:r>
      <w:r w:rsidR="00B07E79">
        <w:t>are</w:t>
      </w:r>
      <w:r>
        <w:t xml:space="preserve"> now available and </w:t>
      </w:r>
      <w:r w:rsidR="00BE5AA0">
        <w:t>p</w:t>
      </w:r>
      <w:r>
        <w:t xml:space="preserve">rovide a path to address </w:t>
      </w:r>
      <w:r w:rsidR="00BE5AA0">
        <w:t xml:space="preserve">production and assembly </w:t>
      </w:r>
      <w:r>
        <w:t>reliability challenges</w:t>
      </w:r>
      <w:r w:rsidR="002C7682">
        <w:t xml:space="preserve">. </w:t>
      </w:r>
    </w:p>
    <w:p w14:paraId="7E62CB6F" w14:textId="77777777" w:rsidR="008B0E2B" w:rsidRDefault="008B0E2B" w:rsidP="00A92DC0">
      <w:pPr>
        <w:pStyle w:val="Text"/>
        <w:ind w:firstLine="0"/>
      </w:pPr>
    </w:p>
    <w:p w14:paraId="2F235D55" w14:textId="525938DB" w:rsidR="008B0E2B" w:rsidRDefault="008B0E2B" w:rsidP="00A92DC0">
      <w:pPr>
        <w:pStyle w:val="Text"/>
        <w:ind w:firstLine="0"/>
      </w:pPr>
      <w:r>
        <w:t xml:space="preserve">In this paper we have shown how SoP </w:t>
      </w:r>
      <w:r w:rsidR="000261ED">
        <w:t xml:space="preserve">CSP </w:t>
      </w:r>
      <w:r>
        <w:t xml:space="preserve">which was initially targeted </w:t>
      </w:r>
      <w:r w:rsidR="00B07E79">
        <w:t xml:space="preserve">to </w:t>
      </w:r>
      <w:r>
        <w:t>flex</w:t>
      </w:r>
      <w:r w:rsidR="00B07E79">
        <w:t>ible hybrid electronics</w:t>
      </w:r>
      <w:r w:rsidR="00DF1211">
        <w:t xml:space="preserve"> can be applied to IC packaging</w:t>
      </w:r>
      <w:r w:rsidR="00727242">
        <w:t>.</w:t>
      </w:r>
      <w:r w:rsidR="00DF1211">
        <w:t xml:space="preserve"> </w:t>
      </w:r>
      <w:r w:rsidR="00727242">
        <w:t>These applications include</w:t>
      </w:r>
      <w:r>
        <w:t xml:space="preserve"> </w:t>
      </w:r>
      <w:r w:rsidR="00DF1211">
        <w:t xml:space="preserve">advanced packaging </w:t>
      </w:r>
      <w:r w:rsidR="00727242">
        <w:t xml:space="preserve">approaches </w:t>
      </w:r>
      <w:r w:rsidR="00DF1211">
        <w:t>such as FI, FC,</w:t>
      </w:r>
      <w:r w:rsidR="00727242">
        <w:t xml:space="preserve"> and</w:t>
      </w:r>
      <w:r w:rsidR="00DF1211">
        <w:t xml:space="preserve"> FO.  In </w:t>
      </w:r>
      <w:r w:rsidR="00727242">
        <w:t>addition,</w:t>
      </w:r>
      <w:r w:rsidR="00DF1211">
        <w:t xml:space="preserve"> FHE and SoP concepts can be applied to </w:t>
      </w:r>
      <w:r w:rsidR="000261ED">
        <w:t xml:space="preserve">AIP </w:t>
      </w:r>
      <w:r>
        <w:t>IC packaging</w:t>
      </w:r>
      <w:r w:rsidR="000261ED">
        <w:t xml:space="preserve"> and </w:t>
      </w:r>
      <w:r w:rsidR="00F120EE">
        <w:t>multi</w:t>
      </w:r>
      <w:r w:rsidR="00DF1211">
        <w:t xml:space="preserve"> component systems such as </w:t>
      </w:r>
      <w:proofErr w:type="spellStart"/>
      <w:r>
        <w:t>SiP</w:t>
      </w:r>
      <w:proofErr w:type="spellEnd"/>
      <w:r w:rsidR="000261ED">
        <w:t>,</w:t>
      </w:r>
      <w:r w:rsidR="00DF1211">
        <w:t xml:space="preserve"> </w:t>
      </w:r>
      <w:r w:rsidR="00B07E79">
        <w:t>heterogeneous</w:t>
      </w:r>
      <w:r>
        <w:t xml:space="preserve"> integration</w:t>
      </w:r>
      <w:r w:rsidR="000261ED">
        <w:t xml:space="preserve"> and</w:t>
      </w:r>
      <w:r w:rsidR="00DF1211">
        <w:t xml:space="preserve"> </w:t>
      </w:r>
      <w:proofErr w:type="spellStart"/>
      <w:r w:rsidR="0051162A">
        <w:t>PoP</w:t>
      </w:r>
      <w:proofErr w:type="spellEnd"/>
      <w:r w:rsidR="0051162A">
        <w:t xml:space="preserve"> (Package on Package)</w:t>
      </w:r>
      <w:r w:rsidR="000261ED">
        <w:t>.</w:t>
      </w:r>
      <w:r w:rsidR="0051162A">
        <w:t xml:space="preserve">  It can be further developed to </w:t>
      </w:r>
      <w:r w:rsidR="000261ED">
        <w:t xml:space="preserve">enhance </w:t>
      </w:r>
      <w:r w:rsidR="0051162A">
        <w:t>die</w:t>
      </w:r>
      <w:r w:rsidR="000261ED">
        <w:t>-</w:t>
      </w:r>
      <w:r w:rsidR="0051162A">
        <w:t>to</w:t>
      </w:r>
      <w:r w:rsidR="000261ED">
        <w:t>-</w:t>
      </w:r>
      <w:r w:rsidR="0051162A">
        <w:t>die stacking</w:t>
      </w:r>
      <w:r w:rsidR="000261ED">
        <w:t>.</w:t>
      </w:r>
      <w:r w:rsidR="00DF1211">
        <w:t xml:space="preserve"> </w:t>
      </w:r>
      <w:r>
        <w:t xml:space="preserve">This </w:t>
      </w:r>
      <w:r w:rsidR="00F120EE">
        <w:t>paper provides</w:t>
      </w:r>
      <w:r>
        <w:t xml:space="preserve"> a glimpse of</w:t>
      </w:r>
      <w:r w:rsidR="00F120EE">
        <w:t xml:space="preserve"> the potential of harnessing</w:t>
      </w:r>
      <w:r>
        <w:t xml:space="preserve"> technology from </w:t>
      </w:r>
      <w:r w:rsidR="000261ED">
        <w:t xml:space="preserve">multiple </w:t>
      </w:r>
      <w:r>
        <w:t>technology silo</w:t>
      </w:r>
      <w:r w:rsidR="000261ED">
        <w:t>s</w:t>
      </w:r>
      <w:r w:rsidR="00F120EE">
        <w:t xml:space="preserve"> to accelerate high performance/low cost IC packaging</w:t>
      </w:r>
      <w:r w:rsidR="00BE5AA0">
        <w:t>.</w:t>
      </w:r>
      <w:r w:rsidR="00432FD9">
        <w:t xml:space="preserve"> [8] </w:t>
      </w:r>
      <w:r w:rsidR="00BE5AA0">
        <w:t>I</w:t>
      </w:r>
      <w:r>
        <w:t xml:space="preserve">n this case </w:t>
      </w:r>
      <w:r w:rsidR="003F0373">
        <w:t xml:space="preserve">FHE (which includes </w:t>
      </w:r>
      <w:proofErr w:type="spellStart"/>
      <w:r w:rsidR="003F0373">
        <w:t>RtR</w:t>
      </w:r>
      <w:proofErr w:type="spellEnd"/>
      <w:r w:rsidR="003F0373">
        <w:t xml:space="preserve"> and additive manufacturing)</w:t>
      </w:r>
      <w:r>
        <w:t xml:space="preserve"> and IC packaging.  Further work will be required to flesh out cost effective production and commercial application</w:t>
      </w:r>
      <w:r w:rsidR="002153DB">
        <w:t xml:space="preserve"> of the examples noted as well as </w:t>
      </w:r>
      <w:r w:rsidR="003F0373">
        <w:t xml:space="preserve">developing </w:t>
      </w:r>
      <w:r w:rsidR="002153DB">
        <w:t>new possibilities</w:t>
      </w:r>
      <w:r>
        <w:t>.</w:t>
      </w:r>
    </w:p>
    <w:p w14:paraId="7AC05107" w14:textId="77777777" w:rsidR="002C7682" w:rsidRDefault="002C7682">
      <w:pPr>
        <w:pStyle w:val="ReferenceHead"/>
        <w:jc w:val="left"/>
        <w:rPr>
          <w:b/>
          <w:bCs/>
          <w:smallCaps w:val="0"/>
          <w:sz w:val="24"/>
        </w:rPr>
      </w:pPr>
      <w:r>
        <w:rPr>
          <w:b/>
          <w:bCs/>
          <w:smallCaps w:val="0"/>
          <w:sz w:val="24"/>
        </w:rPr>
        <w:t>Acknowledgment</w:t>
      </w:r>
    </w:p>
    <w:p w14:paraId="3EF180DD" w14:textId="77777777" w:rsidR="002C7682" w:rsidRDefault="002153DB">
      <w:pPr>
        <w:pStyle w:val="Text"/>
        <w:ind w:firstLine="0"/>
      </w:pPr>
      <w:r>
        <w:t xml:space="preserve">We would like to acknowledge the work of </w:t>
      </w:r>
      <w:r w:rsidR="00B07E79">
        <w:t>t</w:t>
      </w:r>
      <w:r>
        <w:t>he ASI team to produce and evaluate the SoP parts and assemblies that demonstrate the potential noted in this paper.</w:t>
      </w:r>
      <w:r w:rsidR="00351214">
        <w:t xml:space="preserve"> Additionally,</w:t>
      </w:r>
      <w:r w:rsidR="00B07E79">
        <w:t xml:space="preserve"> we acknowledge the support and advanced packaging materials provided by HD MicroSystems.</w:t>
      </w:r>
    </w:p>
    <w:p w14:paraId="51E979EC" w14:textId="77777777" w:rsidR="002C7682" w:rsidRDefault="002C7682">
      <w:pPr>
        <w:pStyle w:val="ReferenceHead"/>
        <w:jc w:val="left"/>
        <w:rPr>
          <w:b/>
          <w:bCs/>
          <w:smallCaps w:val="0"/>
          <w:sz w:val="24"/>
        </w:rPr>
      </w:pPr>
      <w:r>
        <w:rPr>
          <w:b/>
          <w:bCs/>
          <w:smallCaps w:val="0"/>
          <w:sz w:val="24"/>
        </w:rPr>
        <w:t>References</w:t>
      </w:r>
    </w:p>
    <w:p w14:paraId="04F73232" w14:textId="77777777" w:rsidR="00724033" w:rsidRDefault="00724033" w:rsidP="00176A65">
      <w:pPr>
        <w:numPr>
          <w:ilvl w:val="0"/>
          <w:numId w:val="19"/>
        </w:numPr>
        <w:jc w:val="both"/>
        <w:rPr>
          <w:sz w:val="16"/>
        </w:rPr>
      </w:pPr>
      <w:r w:rsidRPr="005D524F">
        <w:rPr>
          <w:sz w:val="16"/>
        </w:rPr>
        <w:t xml:space="preserve">Parrish &amp; Gillespie. (2019), Thin is </w:t>
      </w:r>
      <w:proofErr w:type="gramStart"/>
      <w:r w:rsidRPr="005D524F">
        <w:rPr>
          <w:sz w:val="16"/>
        </w:rPr>
        <w:t>In</w:t>
      </w:r>
      <w:proofErr w:type="gramEnd"/>
      <w:r w:rsidRPr="005D524F">
        <w:rPr>
          <w:sz w:val="16"/>
        </w:rPr>
        <w:t xml:space="preserve">: The Challenge and Solution of Picking Thinner Die. Royce Instruments. Jun 20, 2019, </w:t>
      </w:r>
      <w:hyperlink r:id="rId20" w:history="1">
        <w:r w:rsidR="00D35D5C" w:rsidRPr="00E06923">
          <w:rPr>
            <w:rStyle w:val="Hyperlink"/>
            <w:sz w:val="16"/>
          </w:rPr>
          <w:t>www.vtekusa.com</w:t>
        </w:r>
      </w:hyperlink>
    </w:p>
    <w:p w14:paraId="1A4D6B61" w14:textId="77777777" w:rsidR="00BD3351" w:rsidRPr="00BD6E92" w:rsidRDefault="00B767A5" w:rsidP="00BD6E92">
      <w:pPr>
        <w:numPr>
          <w:ilvl w:val="0"/>
          <w:numId w:val="19"/>
        </w:numPr>
        <w:jc w:val="both"/>
        <w:rPr>
          <w:sz w:val="16"/>
        </w:rPr>
      </w:pPr>
      <w:r>
        <w:rPr>
          <w:sz w:val="16"/>
        </w:rPr>
        <w:t xml:space="preserve">D. </w:t>
      </w:r>
      <w:r w:rsidR="00BD3351">
        <w:rPr>
          <w:sz w:val="16"/>
        </w:rPr>
        <w:t xml:space="preserve">E. </w:t>
      </w:r>
      <w:r>
        <w:rPr>
          <w:sz w:val="16"/>
        </w:rPr>
        <w:t xml:space="preserve">Leber, et al, </w:t>
      </w:r>
      <w:r w:rsidR="00BD3351">
        <w:rPr>
          <w:sz w:val="16"/>
        </w:rPr>
        <w:t>“</w:t>
      </w:r>
      <w:r>
        <w:rPr>
          <w:sz w:val="16"/>
        </w:rPr>
        <w:t>Advances in Flexible Hybrid Electronics Reliability”,</w:t>
      </w:r>
      <w:r w:rsidRPr="00B767A5">
        <w:rPr>
          <w:i/>
          <w:iCs/>
          <w:sz w:val="16"/>
        </w:rPr>
        <w:t xml:space="preserve">2017 </w:t>
      </w:r>
      <w:r w:rsidR="00BD3351" w:rsidRPr="00B767A5">
        <w:rPr>
          <w:i/>
          <w:iCs/>
          <w:sz w:val="16"/>
        </w:rPr>
        <w:t xml:space="preserve">IEEE </w:t>
      </w:r>
      <w:r>
        <w:rPr>
          <w:i/>
          <w:iCs/>
          <w:sz w:val="16"/>
        </w:rPr>
        <w:t>Workshop on Microelectronics and Electron Devices (WMED)</w:t>
      </w:r>
      <w:r w:rsidR="00BD3351">
        <w:rPr>
          <w:sz w:val="16"/>
        </w:rPr>
        <w:t xml:space="preserve">, </w:t>
      </w:r>
      <w:r>
        <w:rPr>
          <w:sz w:val="16"/>
        </w:rPr>
        <w:t>May 2017</w:t>
      </w:r>
      <w:r w:rsidR="00BD3351">
        <w:rPr>
          <w:sz w:val="16"/>
        </w:rPr>
        <w:t>.</w:t>
      </w:r>
    </w:p>
    <w:p w14:paraId="271D1918" w14:textId="77777777" w:rsidR="00A46643" w:rsidRPr="00311B88" w:rsidRDefault="00A46643" w:rsidP="00A46643">
      <w:pPr>
        <w:numPr>
          <w:ilvl w:val="0"/>
          <w:numId w:val="19"/>
        </w:numPr>
        <w:jc w:val="both"/>
        <w:rPr>
          <w:sz w:val="16"/>
          <w:szCs w:val="16"/>
        </w:rPr>
      </w:pPr>
      <w:proofErr w:type="spellStart"/>
      <w:r w:rsidRPr="00311B88">
        <w:rPr>
          <w:sz w:val="16"/>
          <w:szCs w:val="16"/>
        </w:rPr>
        <w:t>Adwill</w:t>
      </w:r>
      <w:proofErr w:type="spellEnd"/>
      <w:r w:rsidRPr="00311B88">
        <w:rPr>
          <w:sz w:val="16"/>
          <w:szCs w:val="16"/>
        </w:rPr>
        <w:t xml:space="preserve"> backside coating tape </w:t>
      </w:r>
      <w:hyperlink r:id="rId21" w:history="1">
        <w:r w:rsidRPr="00311B88">
          <w:rPr>
            <w:rStyle w:val="Hyperlink"/>
            <w:sz w:val="16"/>
            <w:szCs w:val="16"/>
          </w:rPr>
          <w:t>https://www.adwill-global.com/en/tape/coating.html</w:t>
        </w:r>
      </w:hyperlink>
    </w:p>
    <w:p w14:paraId="225871AE" w14:textId="77777777" w:rsidR="00A46643" w:rsidRDefault="00A46643" w:rsidP="00A46643">
      <w:pPr>
        <w:numPr>
          <w:ilvl w:val="0"/>
          <w:numId w:val="19"/>
        </w:numPr>
        <w:jc w:val="both"/>
        <w:rPr>
          <w:sz w:val="16"/>
        </w:rPr>
      </w:pPr>
      <w:proofErr w:type="spellStart"/>
      <w:proofErr w:type="gramStart"/>
      <w:r>
        <w:rPr>
          <w:sz w:val="16"/>
        </w:rPr>
        <w:t>T.Strothmann</w:t>
      </w:r>
      <w:proofErr w:type="spellEnd"/>
      <w:proofErr w:type="gramEnd"/>
      <w:r>
        <w:rPr>
          <w:sz w:val="16"/>
        </w:rPr>
        <w:t xml:space="preserve">, </w:t>
      </w:r>
      <w:proofErr w:type="spellStart"/>
      <w:r>
        <w:rPr>
          <w:sz w:val="16"/>
        </w:rPr>
        <w:t>S.Wook</w:t>
      </w:r>
      <w:proofErr w:type="spellEnd"/>
      <w:r>
        <w:rPr>
          <w:sz w:val="16"/>
        </w:rPr>
        <w:t xml:space="preserve"> Yoon, </w:t>
      </w:r>
      <w:proofErr w:type="spellStart"/>
      <w:r>
        <w:rPr>
          <w:sz w:val="16"/>
        </w:rPr>
        <w:t>Y.Lin</w:t>
      </w:r>
      <w:proofErr w:type="spellEnd"/>
      <w:r>
        <w:rPr>
          <w:sz w:val="16"/>
        </w:rPr>
        <w:t xml:space="preserve"> “Encapsulated Wafer Level Package Technology (</w:t>
      </w:r>
      <w:proofErr w:type="spellStart"/>
      <w:r>
        <w:rPr>
          <w:sz w:val="16"/>
        </w:rPr>
        <w:t>eWLCSP</w:t>
      </w:r>
      <w:proofErr w:type="spellEnd"/>
      <w:r>
        <w:rPr>
          <w:sz w:val="16"/>
        </w:rPr>
        <w:t>)” 2014 ECTC pp931-934</w:t>
      </w:r>
    </w:p>
    <w:p w14:paraId="360DF063" w14:textId="77777777" w:rsidR="00A46643" w:rsidRDefault="00A46643" w:rsidP="00A46643">
      <w:pPr>
        <w:numPr>
          <w:ilvl w:val="0"/>
          <w:numId w:val="19"/>
        </w:numPr>
        <w:jc w:val="both"/>
        <w:rPr>
          <w:sz w:val="16"/>
        </w:rPr>
      </w:pPr>
      <w:proofErr w:type="spellStart"/>
      <w:proofErr w:type="gramStart"/>
      <w:r>
        <w:rPr>
          <w:sz w:val="16"/>
        </w:rPr>
        <w:t>B.Rogers</w:t>
      </w:r>
      <w:proofErr w:type="spellEnd"/>
      <w:proofErr w:type="gramEnd"/>
      <w:r>
        <w:rPr>
          <w:sz w:val="16"/>
        </w:rPr>
        <w:t xml:space="preserve">, </w:t>
      </w:r>
      <w:proofErr w:type="spellStart"/>
      <w:r>
        <w:rPr>
          <w:sz w:val="16"/>
        </w:rPr>
        <w:t>C.Scanlon</w:t>
      </w:r>
      <w:proofErr w:type="spellEnd"/>
      <w:r>
        <w:rPr>
          <w:sz w:val="16"/>
        </w:rPr>
        <w:t xml:space="preserve">, </w:t>
      </w:r>
      <w:proofErr w:type="spellStart"/>
      <w:r>
        <w:rPr>
          <w:sz w:val="16"/>
        </w:rPr>
        <w:t>T.Olson</w:t>
      </w:r>
      <w:proofErr w:type="spellEnd"/>
      <w:r>
        <w:rPr>
          <w:sz w:val="16"/>
        </w:rPr>
        <w:t xml:space="preserve"> “Implementation of fully molded Fan-out packaging technology” 2013 IWLPC, San Jose, CA, pp S10-P1-1 – S10-P1-6</w:t>
      </w:r>
    </w:p>
    <w:p w14:paraId="4FCBC714" w14:textId="77777777" w:rsidR="00A46643" w:rsidRPr="00311B88" w:rsidRDefault="00A46643" w:rsidP="00A46643">
      <w:pPr>
        <w:numPr>
          <w:ilvl w:val="0"/>
          <w:numId w:val="19"/>
        </w:numPr>
        <w:jc w:val="both"/>
        <w:rPr>
          <w:sz w:val="16"/>
          <w:szCs w:val="16"/>
        </w:rPr>
      </w:pPr>
      <w:r w:rsidRPr="00311B88">
        <w:rPr>
          <w:sz w:val="16"/>
          <w:szCs w:val="16"/>
        </w:rPr>
        <w:t>DECA M-Series https://thinkdeca.com/deca-technologies-transforming-electronic-interconnect/m-series/</w:t>
      </w:r>
    </w:p>
    <w:p w14:paraId="57A11E2F" w14:textId="77777777" w:rsidR="00372538" w:rsidRDefault="00A46643" w:rsidP="000F4507">
      <w:pPr>
        <w:numPr>
          <w:ilvl w:val="0"/>
          <w:numId w:val="19"/>
        </w:numPr>
        <w:jc w:val="both"/>
        <w:rPr>
          <w:sz w:val="16"/>
        </w:rPr>
      </w:pPr>
      <w:proofErr w:type="spellStart"/>
      <w:proofErr w:type="gramStart"/>
      <w:r>
        <w:rPr>
          <w:sz w:val="16"/>
        </w:rPr>
        <w:t>N.Chhabra</w:t>
      </w:r>
      <w:proofErr w:type="spellEnd"/>
      <w:proofErr w:type="gramEnd"/>
      <w:r>
        <w:rPr>
          <w:sz w:val="16"/>
        </w:rPr>
        <w:t xml:space="preserve"> “</w:t>
      </w:r>
      <w:proofErr w:type="spellStart"/>
      <w:r>
        <w:rPr>
          <w:sz w:val="16"/>
        </w:rPr>
        <w:t>Freescales</w:t>
      </w:r>
      <w:proofErr w:type="spellEnd"/>
      <w:r>
        <w:rPr>
          <w:sz w:val="16"/>
        </w:rPr>
        <w:t xml:space="preserve"> Redistributed Chip Packaging (RCP) Ready for Production” June, 2010</w:t>
      </w:r>
    </w:p>
    <w:p w14:paraId="5B0FDBB2" w14:textId="77777777" w:rsidR="00432FD9" w:rsidRPr="000F4507" w:rsidRDefault="00432FD9" w:rsidP="000F4507">
      <w:pPr>
        <w:numPr>
          <w:ilvl w:val="0"/>
          <w:numId w:val="19"/>
        </w:numPr>
        <w:jc w:val="both"/>
        <w:rPr>
          <w:sz w:val="16"/>
        </w:rPr>
      </w:pPr>
      <w:proofErr w:type="spellStart"/>
      <w:proofErr w:type="gramStart"/>
      <w:r w:rsidRPr="00432FD9">
        <w:rPr>
          <w:sz w:val="16"/>
        </w:rPr>
        <w:t>E.Prack</w:t>
      </w:r>
      <w:proofErr w:type="spellEnd"/>
      <w:proofErr w:type="gramEnd"/>
      <w:r w:rsidRPr="00432FD9">
        <w:rPr>
          <w:sz w:val="16"/>
        </w:rPr>
        <w:t xml:space="preserve"> “IC packaging directions and challenges” invited keynote for ICPST-32, Chiba, Japan, 6/24-26/15</w:t>
      </w:r>
    </w:p>
    <w:sectPr w:rsidR="00432FD9" w:rsidRPr="000F4507" w:rsidSect="00C54777">
      <w:type w:val="continuous"/>
      <w:pgSz w:w="12240" w:h="15840" w:code="1"/>
      <w:pgMar w:top="1440" w:right="936" w:bottom="1440" w:left="936" w:header="720" w:footer="576"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6BCC1D" w14:textId="77777777" w:rsidR="00356C7D" w:rsidRDefault="00356C7D">
      <w:r>
        <w:separator/>
      </w:r>
    </w:p>
  </w:endnote>
  <w:endnote w:type="continuationSeparator" w:id="0">
    <w:p w14:paraId="5AA272F0" w14:textId="77777777" w:rsidR="00356C7D" w:rsidRDefault="00356C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D9BDE1" w14:textId="77777777" w:rsidR="002C7682" w:rsidRDefault="008500BE">
    <w:pPr>
      <w:pStyle w:val="Footer"/>
      <w:framePr w:wrap="around" w:vAnchor="text" w:hAnchor="margin" w:xAlign="center" w:y="1"/>
      <w:rPr>
        <w:rStyle w:val="PageNumber"/>
      </w:rPr>
    </w:pPr>
    <w:r>
      <w:rPr>
        <w:rStyle w:val="PageNumber"/>
      </w:rPr>
      <w:fldChar w:fldCharType="begin"/>
    </w:r>
    <w:r w:rsidR="002C7682">
      <w:rPr>
        <w:rStyle w:val="PageNumber"/>
      </w:rPr>
      <w:instrText xml:space="preserve">PAGE  </w:instrText>
    </w:r>
    <w:r>
      <w:rPr>
        <w:rStyle w:val="PageNumber"/>
      </w:rPr>
      <w:fldChar w:fldCharType="end"/>
    </w:r>
  </w:p>
  <w:p w14:paraId="28564FEF" w14:textId="77777777" w:rsidR="002C7682" w:rsidRDefault="002C76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97B1EB" w14:textId="77777777" w:rsidR="002C7682" w:rsidRDefault="008500BE">
    <w:pPr>
      <w:pStyle w:val="Footer"/>
      <w:framePr w:wrap="around" w:vAnchor="text" w:hAnchor="margin" w:xAlign="center" w:y="1"/>
      <w:rPr>
        <w:rStyle w:val="PageNumber"/>
      </w:rPr>
    </w:pPr>
    <w:r>
      <w:rPr>
        <w:rStyle w:val="PageNumber"/>
      </w:rPr>
      <w:fldChar w:fldCharType="begin"/>
    </w:r>
    <w:r w:rsidR="002C7682">
      <w:rPr>
        <w:rStyle w:val="PageNumber"/>
      </w:rPr>
      <w:instrText xml:space="preserve">PAGE  </w:instrText>
    </w:r>
    <w:r>
      <w:rPr>
        <w:rStyle w:val="PageNumber"/>
      </w:rPr>
      <w:fldChar w:fldCharType="separate"/>
    </w:r>
    <w:r w:rsidR="00F120EE">
      <w:rPr>
        <w:rStyle w:val="PageNumber"/>
        <w:noProof/>
      </w:rPr>
      <w:t>3</w:t>
    </w:r>
    <w:r>
      <w:rPr>
        <w:rStyle w:val="PageNumber"/>
      </w:rPr>
      <w:fldChar w:fldCharType="end"/>
    </w:r>
  </w:p>
  <w:p w14:paraId="61914A47" w14:textId="77777777" w:rsidR="002C7682" w:rsidRDefault="002C76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A0A2A4" w14:textId="77777777" w:rsidR="00356C7D" w:rsidRDefault="00356C7D"/>
  </w:footnote>
  <w:footnote w:type="continuationSeparator" w:id="0">
    <w:p w14:paraId="49EA6D90" w14:textId="77777777" w:rsidR="00356C7D" w:rsidRDefault="00356C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E4712A" w14:textId="77777777" w:rsidR="002C7682" w:rsidRDefault="002C7682">
    <w:pPr>
      <w:framePr w:wrap="auto" w:vAnchor="text" w:hAnchor="margin" w:xAlign="right" w:y="1"/>
    </w:pPr>
  </w:p>
  <w:p w14:paraId="46D638B1" w14:textId="77777777" w:rsidR="002C7682" w:rsidRDefault="002C7682">
    <w:pP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2E085744"/>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lvl>
    <w:lvl w:ilvl="2">
      <w:start w:val="1"/>
      <w:numFmt w:val="decimal"/>
      <w:pStyle w:val="Heading3"/>
      <w:lvlText w:val="%3)"/>
      <w:legacy w:legacy="1" w:legacySpace="144" w:legacyIndent="144"/>
      <w:lvlJc w:val="left"/>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 w15:restartNumberingAfterBreak="0">
    <w:nsid w:val="1B0B1D66"/>
    <w:multiLevelType w:val="singleLevel"/>
    <w:tmpl w:val="0BEC9FB0"/>
    <w:lvl w:ilvl="0">
      <w:start w:val="1"/>
      <w:numFmt w:val="none"/>
      <w:lvlText w:val=""/>
      <w:legacy w:legacy="1" w:legacySpace="0" w:legacyIndent="0"/>
      <w:lvlJc w:val="left"/>
      <w:pPr>
        <w:ind w:left="288"/>
      </w:pPr>
    </w:lvl>
  </w:abstractNum>
  <w:abstractNum w:abstractNumId="2" w15:restartNumberingAfterBreak="0">
    <w:nsid w:val="2517274C"/>
    <w:multiLevelType w:val="singleLevel"/>
    <w:tmpl w:val="04090011"/>
    <w:lvl w:ilvl="0">
      <w:start w:val="1"/>
      <w:numFmt w:val="decimal"/>
      <w:lvlText w:val="%1)"/>
      <w:lvlJc w:val="left"/>
      <w:pPr>
        <w:tabs>
          <w:tab w:val="num" w:pos="360"/>
        </w:tabs>
        <w:ind w:left="360" w:hanging="360"/>
      </w:pPr>
    </w:lvl>
  </w:abstractNum>
  <w:abstractNum w:abstractNumId="3" w15:restartNumberingAfterBreak="0">
    <w:nsid w:val="2D234D8B"/>
    <w:multiLevelType w:val="singleLevel"/>
    <w:tmpl w:val="0409000F"/>
    <w:lvl w:ilvl="0">
      <w:start w:val="1"/>
      <w:numFmt w:val="decimal"/>
      <w:lvlText w:val="%1."/>
      <w:lvlJc w:val="left"/>
      <w:pPr>
        <w:tabs>
          <w:tab w:val="num" w:pos="360"/>
        </w:tabs>
        <w:ind w:left="360" w:hanging="360"/>
      </w:pPr>
    </w:lvl>
  </w:abstractNum>
  <w:abstractNum w:abstractNumId="4"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6" w15:restartNumberingAfterBreak="0">
    <w:nsid w:val="3AAC1CFC"/>
    <w:multiLevelType w:val="singleLevel"/>
    <w:tmpl w:val="3A8EC28E"/>
    <w:lvl w:ilvl="0">
      <w:start w:val="1"/>
      <w:numFmt w:val="decimal"/>
      <w:lvlText w:val="[%1]"/>
      <w:lvlJc w:val="left"/>
      <w:pPr>
        <w:tabs>
          <w:tab w:val="num" w:pos="360"/>
        </w:tabs>
        <w:ind w:left="360" w:hanging="360"/>
      </w:pPr>
    </w:lvl>
  </w:abstractNum>
  <w:abstractNum w:abstractNumId="7" w15:restartNumberingAfterBreak="0">
    <w:nsid w:val="47332F9F"/>
    <w:multiLevelType w:val="singleLevel"/>
    <w:tmpl w:val="488EC81A"/>
    <w:lvl w:ilvl="0">
      <w:start w:val="1"/>
      <w:numFmt w:val="decimal"/>
      <w:lvlText w:val="%1."/>
      <w:legacy w:legacy="1" w:legacySpace="0" w:legacyIndent="360"/>
      <w:lvlJc w:val="left"/>
      <w:pPr>
        <w:ind w:left="360" w:hanging="360"/>
      </w:pPr>
    </w:lvl>
  </w:abstractNum>
  <w:abstractNum w:abstractNumId="8" w15:restartNumberingAfterBreak="0">
    <w:nsid w:val="4811653D"/>
    <w:multiLevelType w:val="multilevel"/>
    <w:tmpl w:val="5AE44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D0B59CF"/>
    <w:multiLevelType w:val="singleLevel"/>
    <w:tmpl w:val="4A4223A6"/>
    <w:lvl w:ilvl="0">
      <w:start w:val="1"/>
      <w:numFmt w:val="decimal"/>
      <w:lvlText w:val="%1."/>
      <w:legacy w:legacy="1" w:legacySpace="0" w:legacyIndent="360"/>
      <w:lvlJc w:val="left"/>
      <w:pPr>
        <w:ind w:left="360" w:hanging="360"/>
      </w:pPr>
    </w:lvl>
  </w:abstractNum>
  <w:abstractNum w:abstractNumId="10" w15:restartNumberingAfterBreak="0">
    <w:nsid w:val="55630736"/>
    <w:multiLevelType w:val="singleLevel"/>
    <w:tmpl w:val="0BEC9FB0"/>
    <w:lvl w:ilvl="0">
      <w:start w:val="1"/>
      <w:numFmt w:val="none"/>
      <w:lvlText w:val=""/>
      <w:legacy w:legacy="1" w:legacySpace="0" w:legacyIndent="0"/>
      <w:lvlJc w:val="left"/>
      <w:pPr>
        <w:ind w:left="288"/>
      </w:pPr>
    </w:lvl>
  </w:abstractNum>
  <w:abstractNum w:abstractNumId="11" w15:restartNumberingAfterBreak="0">
    <w:nsid w:val="6DC3293B"/>
    <w:multiLevelType w:val="singleLevel"/>
    <w:tmpl w:val="3A8EC28E"/>
    <w:lvl w:ilvl="0">
      <w:start w:val="1"/>
      <w:numFmt w:val="decimal"/>
      <w:lvlText w:val="[%1]"/>
      <w:lvlJc w:val="left"/>
      <w:pPr>
        <w:tabs>
          <w:tab w:val="num" w:pos="360"/>
        </w:tabs>
        <w:ind w:left="360" w:hanging="360"/>
      </w:pPr>
    </w:lvl>
  </w:abstractNum>
  <w:abstractNum w:abstractNumId="12" w15:restartNumberingAfterBreak="0">
    <w:nsid w:val="77E315E9"/>
    <w:multiLevelType w:val="singleLevel"/>
    <w:tmpl w:val="0BEC9FB0"/>
    <w:lvl w:ilvl="0">
      <w:start w:val="1"/>
      <w:numFmt w:val="none"/>
      <w:lvlText w:val=""/>
      <w:legacy w:legacy="1" w:legacySpace="0" w:legacyIndent="0"/>
      <w:lvlJc w:val="left"/>
      <w:pPr>
        <w:ind w:left="288"/>
      </w:pPr>
    </w:lvl>
  </w:abstractNum>
  <w:num w:numId="1">
    <w:abstractNumId w:val="0"/>
  </w:num>
  <w:num w:numId="2">
    <w:abstractNumId w:val="4"/>
  </w:num>
  <w:num w:numId="3">
    <w:abstractNumId w:val="4"/>
    <w:lvlOverride w:ilvl="0">
      <w:lvl w:ilvl="0">
        <w:start w:val="1"/>
        <w:numFmt w:val="decimal"/>
        <w:lvlText w:val="%1."/>
        <w:legacy w:legacy="1" w:legacySpace="0" w:legacyIndent="360"/>
        <w:lvlJc w:val="left"/>
        <w:pPr>
          <w:ind w:left="360" w:hanging="360"/>
        </w:pPr>
      </w:lvl>
    </w:lvlOverride>
  </w:num>
  <w:num w:numId="4">
    <w:abstractNumId w:val="4"/>
    <w:lvlOverride w:ilvl="0">
      <w:lvl w:ilvl="0">
        <w:start w:val="1"/>
        <w:numFmt w:val="decimal"/>
        <w:lvlText w:val="%1."/>
        <w:legacy w:legacy="1" w:legacySpace="0" w:legacyIndent="360"/>
        <w:lvlJc w:val="left"/>
        <w:pPr>
          <w:ind w:left="360" w:hanging="360"/>
        </w:pPr>
      </w:lvl>
    </w:lvlOverride>
  </w:num>
  <w:num w:numId="5">
    <w:abstractNumId w:val="4"/>
    <w:lvlOverride w:ilvl="0">
      <w:lvl w:ilvl="0">
        <w:start w:val="1"/>
        <w:numFmt w:val="decimal"/>
        <w:lvlText w:val="%1."/>
        <w:legacy w:legacy="1" w:legacySpace="0" w:legacyIndent="360"/>
        <w:lvlJc w:val="left"/>
        <w:pPr>
          <w:ind w:left="360" w:hanging="360"/>
        </w:pPr>
      </w:lvl>
    </w:lvlOverride>
  </w:num>
  <w:num w:numId="6">
    <w:abstractNumId w:val="7"/>
  </w:num>
  <w:num w:numId="7">
    <w:abstractNumId w:val="7"/>
    <w:lvlOverride w:ilvl="0">
      <w:lvl w:ilvl="0">
        <w:start w:val="1"/>
        <w:numFmt w:val="decimal"/>
        <w:lvlText w:val="%1."/>
        <w:legacy w:legacy="1" w:legacySpace="0" w:legacyIndent="360"/>
        <w:lvlJc w:val="left"/>
        <w:pPr>
          <w:ind w:left="360" w:hanging="360"/>
        </w:pPr>
      </w:lvl>
    </w:lvlOverride>
  </w:num>
  <w:num w:numId="8">
    <w:abstractNumId w:val="7"/>
    <w:lvlOverride w:ilvl="0">
      <w:lvl w:ilvl="0">
        <w:start w:val="1"/>
        <w:numFmt w:val="decimal"/>
        <w:lvlText w:val="%1."/>
        <w:legacy w:legacy="1" w:legacySpace="0" w:legacyIndent="360"/>
        <w:lvlJc w:val="left"/>
        <w:pPr>
          <w:ind w:left="360" w:hanging="360"/>
        </w:pPr>
      </w:lvl>
    </w:lvlOverride>
  </w:num>
  <w:num w:numId="9">
    <w:abstractNumId w:val="7"/>
    <w:lvlOverride w:ilvl="0">
      <w:lvl w:ilvl="0">
        <w:start w:val="1"/>
        <w:numFmt w:val="decimal"/>
        <w:lvlText w:val="%1."/>
        <w:legacy w:legacy="1" w:legacySpace="0" w:legacyIndent="360"/>
        <w:lvlJc w:val="left"/>
        <w:pPr>
          <w:ind w:left="360" w:hanging="360"/>
        </w:pPr>
      </w:lvl>
    </w:lvlOverride>
  </w:num>
  <w:num w:numId="10">
    <w:abstractNumId w:val="7"/>
    <w:lvlOverride w:ilvl="0">
      <w:lvl w:ilvl="0">
        <w:start w:val="1"/>
        <w:numFmt w:val="decimal"/>
        <w:lvlText w:val="%1."/>
        <w:legacy w:legacy="1" w:legacySpace="0" w:legacyIndent="360"/>
        <w:lvlJc w:val="left"/>
        <w:pPr>
          <w:ind w:left="360" w:hanging="360"/>
        </w:pPr>
      </w:lvl>
    </w:lvlOverride>
  </w:num>
  <w:num w:numId="11">
    <w:abstractNumId w:val="7"/>
    <w:lvlOverride w:ilvl="0">
      <w:lvl w:ilvl="0">
        <w:start w:val="1"/>
        <w:numFmt w:val="decimal"/>
        <w:lvlText w:val="%1."/>
        <w:legacy w:legacy="1" w:legacySpace="0" w:legacyIndent="360"/>
        <w:lvlJc w:val="left"/>
        <w:pPr>
          <w:ind w:left="360" w:hanging="360"/>
        </w:pPr>
      </w:lvl>
    </w:lvlOverride>
  </w:num>
  <w:num w:numId="12">
    <w:abstractNumId w:val="5"/>
  </w:num>
  <w:num w:numId="13">
    <w:abstractNumId w:val="1"/>
  </w:num>
  <w:num w:numId="14">
    <w:abstractNumId w:val="10"/>
  </w:num>
  <w:num w:numId="15">
    <w:abstractNumId w:val="9"/>
  </w:num>
  <w:num w:numId="16">
    <w:abstractNumId w:val="12"/>
  </w:num>
  <w:num w:numId="17">
    <w:abstractNumId w:val="3"/>
  </w:num>
  <w:num w:numId="18">
    <w:abstractNumId w:val="2"/>
  </w:num>
  <w:num w:numId="19">
    <w:abstractNumId w:val="11"/>
  </w:num>
  <w:num w:numId="20">
    <w:abstractNumId w:val="6"/>
  </w:num>
  <w:num w:numId="21">
    <w:abstractNumId w:val="8"/>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9"/>
  <w:proofState w:spelling="clean" w:grammar="clean"/>
  <w:defaultTabStop w:val="202"/>
  <w:doNotHyphenateCaps/>
  <w:drawingGridHorizontalSpacing w:val="120"/>
  <w:drawingGridVerticalSpacing w:val="120"/>
  <w:displayHorizontalDrawingGridEvery w:val="0"/>
  <w:displayVerticalDrawingGridEvery w:val="3"/>
  <w:doNotUseMarginsForDrawingGridOrigin/>
  <w:characterSpacingControl w:val="compressPunctuation"/>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057"/>
    <w:rsid w:val="00016826"/>
    <w:rsid w:val="00021C12"/>
    <w:rsid w:val="000261ED"/>
    <w:rsid w:val="000C14D3"/>
    <w:rsid w:val="000D77E4"/>
    <w:rsid w:val="000E49A3"/>
    <w:rsid w:val="000E7B26"/>
    <w:rsid w:val="000F4507"/>
    <w:rsid w:val="001375F9"/>
    <w:rsid w:val="00176A65"/>
    <w:rsid w:val="001A7A52"/>
    <w:rsid w:val="001D7A82"/>
    <w:rsid w:val="001E334D"/>
    <w:rsid w:val="002070FE"/>
    <w:rsid w:val="002153DB"/>
    <w:rsid w:val="002322E0"/>
    <w:rsid w:val="0023576C"/>
    <w:rsid w:val="002631EC"/>
    <w:rsid w:val="002806BC"/>
    <w:rsid w:val="002A1EB8"/>
    <w:rsid w:val="002A74BB"/>
    <w:rsid w:val="002B56D2"/>
    <w:rsid w:val="002C7682"/>
    <w:rsid w:val="00310840"/>
    <w:rsid w:val="00351214"/>
    <w:rsid w:val="00356C7D"/>
    <w:rsid w:val="00372538"/>
    <w:rsid w:val="003F0373"/>
    <w:rsid w:val="003F19F3"/>
    <w:rsid w:val="003F24E2"/>
    <w:rsid w:val="00411ABB"/>
    <w:rsid w:val="00432FD9"/>
    <w:rsid w:val="004520E5"/>
    <w:rsid w:val="00456125"/>
    <w:rsid w:val="004679C1"/>
    <w:rsid w:val="004860D4"/>
    <w:rsid w:val="004C2947"/>
    <w:rsid w:val="0051162A"/>
    <w:rsid w:val="0055758C"/>
    <w:rsid w:val="005C51A4"/>
    <w:rsid w:val="005C7024"/>
    <w:rsid w:val="005D524F"/>
    <w:rsid w:val="005F45F2"/>
    <w:rsid w:val="00602446"/>
    <w:rsid w:val="00655605"/>
    <w:rsid w:val="006F6839"/>
    <w:rsid w:val="00724033"/>
    <w:rsid w:val="00727242"/>
    <w:rsid w:val="00776DB2"/>
    <w:rsid w:val="007E2B4E"/>
    <w:rsid w:val="007E580B"/>
    <w:rsid w:val="008048F0"/>
    <w:rsid w:val="00824C62"/>
    <w:rsid w:val="008500BE"/>
    <w:rsid w:val="008B0E2B"/>
    <w:rsid w:val="008B0E54"/>
    <w:rsid w:val="008C00B7"/>
    <w:rsid w:val="009A214A"/>
    <w:rsid w:val="009F7B8B"/>
    <w:rsid w:val="00A00B3C"/>
    <w:rsid w:val="00A20F09"/>
    <w:rsid w:val="00A42D90"/>
    <w:rsid w:val="00A46643"/>
    <w:rsid w:val="00A57435"/>
    <w:rsid w:val="00A62AF0"/>
    <w:rsid w:val="00A650E2"/>
    <w:rsid w:val="00A92DC0"/>
    <w:rsid w:val="00AE71E6"/>
    <w:rsid w:val="00B07E79"/>
    <w:rsid w:val="00B27E15"/>
    <w:rsid w:val="00B767A5"/>
    <w:rsid w:val="00BA473E"/>
    <w:rsid w:val="00BB4033"/>
    <w:rsid w:val="00BC3381"/>
    <w:rsid w:val="00BD3351"/>
    <w:rsid w:val="00BD6E92"/>
    <w:rsid w:val="00BE5AA0"/>
    <w:rsid w:val="00C013FD"/>
    <w:rsid w:val="00C04F5E"/>
    <w:rsid w:val="00C07399"/>
    <w:rsid w:val="00C24716"/>
    <w:rsid w:val="00C54777"/>
    <w:rsid w:val="00CA287F"/>
    <w:rsid w:val="00CE42CD"/>
    <w:rsid w:val="00CF4A5B"/>
    <w:rsid w:val="00D222AF"/>
    <w:rsid w:val="00D35D5C"/>
    <w:rsid w:val="00D54D90"/>
    <w:rsid w:val="00D84057"/>
    <w:rsid w:val="00D97AD1"/>
    <w:rsid w:val="00DF1211"/>
    <w:rsid w:val="00DF28CD"/>
    <w:rsid w:val="00E0121E"/>
    <w:rsid w:val="00E53E80"/>
    <w:rsid w:val="00E5720B"/>
    <w:rsid w:val="00E707AD"/>
    <w:rsid w:val="00EB364D"/>
    <w:rsid w:val="00EE403A"/>
    <w:rsid w:val="00F120EE"/>
    <w:rsid w:val="00F716E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38A2AA1"/>
  <w15:docId w15:val="{0B6E25BD-6E11-4244-838D-B968FBB24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334D"/>
  </w:style>
  <w:style w:type="paragraph" w:styleId="Heading1">
    <w:name w:val="heading 1"/>
    <w:basedOn w:val="Normal"/>
    <w:next w:val="Normal"/>
    <w:qFormat/>
    <w:rsid w:val="001E334D"/>
    <w:pPr>
      <w:keepNext/>
      <w:numPr>
        <w:numId w:val="1"/>
      </w:numPr>
      <w:spacing w:before="240" w:after="80"/>
      <w:jc w:val="center"/>
      <w:outlineLvl w:val="0"/>
    </w:pPr>
    <w:rPr>
      <w:smallCaps/>
      <w:kern w:val="28"/>
    </w:rPr>
  </w:style>
  <w:style w:type="paragraph" w:styleId="Heading2">
    <w:name w:val="heading 2"/>
    <w:basedOn w:val="Normal"/>
    <w:next w:val="Normal"/>
    <w:qFormat/>
    <w:rsid w:val="001E334D"/>
    <w:pPr>
      <w:keepNext/>
      <w:numPr>
        <w:ilvl w:val="1"/>
        <w:numId w:val="1"/>
      </w:numPr>
      <w:spacing w:before="120" w:after="60"/>
      <w:ind w:left="144"/>
      <w:outlineLvl w:val="1"/>
    </w:pPr>
    <w:rPr>
      <w:i/>
      <w:iCs/>
    </w:rPr>
  </w:style>
  <w:style w:type="paragraph" w:styleId="Heading3">
    <w:name w:val="heading 3"/>
    <w:basedOn w:val="Normal"/>
    <w:next w:val="Normal"/>
    <w:qFormat/>
    <w:rsid w:val="001E334D"/>
    <w:pPr>
      <w:keepNext/>
      <w:numPr>
        <w:ilvl w:val="2"/>
        <w:numId w:val="1"/>
      </w:numPr>
      <w:ind w:left="288"/>
      <w:outlineLvl w:val="2"/>
    </w:pPr>
    <w:rPr>
      <w:i/>
      <w:iCs/>
    </w:rPr>
  </w:style>
  <w:style w:type="paragraph" w:styleId="Heading4">
    <w:name w:val="heading 4"/>
    <w:basedOn w:val="Normal"/>
    <w:next w:val="Normal"/>
    <w:qFormat/>
    <w:rsid w:val="001E334D"/>
    <w:pPr>
      <w:keepNext/>
      <w:numPr>
        <w:ilvl w:val="3"/>
        <w:numId w:val="1"/>
      </w:numPr>
      <w:spacing w:before="240" w:after="60"/>
      <w:outlineLvl w:val="3"/>
    </w:pPr>
    <w:rPr>
      <w:i/>
      <w:iCs/>
      <w:sz w:val="18"/>
      <w:szCs w:val="18"/>
    </w:rPr>
  </w:style>
  <w:style w:type="paragraph" w:styleId="Heading5">
    <w:name w:val="heading 5"/>
    <w:basedOn w:val="Normal"/>
    <w:next w:val="Normal"/>
    <w:qFormat/>
    <w:rsid w:val="001E334D"/>
    <w:pPr>
      <w:numPr>
        <w:ilvl w:val="4"/>
        <w:numId w:val="1"/>
      </w:numPr>
      <w:spacing w:before="240" w:after="60"/>
      <w:outlineLvl w:val="4"/>
    </w:pPr>
    <w:rPr>
      <w:sz w:val="18"/>
      <w:szCs w:val="18"/>
    </w:rPr>
  </w:style>
  <w:style w:type="paragraph" w:styleId="Heading6">
    <w:name w:val="heading 6"/>
    <w:basedOn w:val="Normal"/>
    <w:next w:val="Normal"/>
    <w:qFormat/>
    <w:rsid w:val="001E334D"/>
    <w:pPr>
      <w:numPr>
        <w:ilvl w:val="5"/>
        <w:numId w:val="1"/>
      </w:numPr>
      <w:spacing w:before="240" w:after="60"/>
      <w:outlineLvl w:val="5"/>
    </w:pPr>
    <w:rPr>
      <w:i/>
      <w:iCs/>
      <w:sz w:val="16"/>
      <w:szCs w:val="16"/>
    </w:rPr>
  </w:style>
  <w:style w:type="paragraph" w:styleId="Heading7">
    <w:name w:val="heading 7"/>
    <w:basedOn w:val="Normal"/>
    <w:next w:val="Normal"/>
    <w:qFormat/>
    <w:rsid w:val="001E334D"/>
    <w:pPr>
      <w:numPr>
        <w:ilvl w:val="6"/>
        <w:numId w:val="1"/>
      </w:numPr>
      <w:spacing w:before="240" w:after="60"/>
      <w:outlineLvl w:val="6"/>
    </w:pPr>
    <w:rPr>
      <w:sz w:val="16"/>
      <w:szCs w:val="16"/>
    </w:rPr>
  </w:style>
  <w:style w:type="paragraph" w:styleId="Heading8">
    <w:name w:val="heading 8"/>
    <w:basedOn w:val="Normal"/>
    <w:next w:val="Normal"/>
    <w:qFormat/>
    <w:rsid w:val="001E334D"/>
    <w:pPr>
      <w:numPr>
        <w:ilvl w:val="7"/>
        <w:numId w:val="1"/>
      </w:numPr>
      <w:spacing w:before="240" w:after="60"/>
      <w:outlineLvl w:val="7"/>
    </w:pPr>
    <w:rPr>
      <w:i/>
      <w:iCs/>
      <w:sz w:val="16"/>
      <w:szCs w:val="16"/>
    </w:rPr>
  </w:style>
  <w:style w:type="paragraph" w:styleId="Heading9">
    <w:name w:val="heading 9"/>
    <w:basedOn w:val="Normal"/>
    <w:next w:val="Normal"/>
    <w:qFormat/>
    <w:rsid w:val="001E334D"/>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rsid w:val="001E334D"/>
    <w:pPr>
      <w:spacing w:before="20"/>
      <w:ind w:firstLine="202"/>
      <w:jc w:val="both"/>
    </w:pPr>
    <w:rPr>
      <w:b/>
      <w:bCs/>
      <w:sz w:val="18"/>
      <w:szCs w:val="18"/>
    </w:rPr>
  </w:style>
  <w:style w:type="paragraph" w:customStyle="1" w:styleId="Authors">
    <w:name w:val="Authors"/>
    <w:basedOn w:val="Normal"/>
    <w:next w:val="Normal"/>
    <w:rsid w:val="001E334D"/>
    <w:pPr>
      <w:framePr w:w="9072" w:hSpace="187" w:vSpace="187" w:wrap="notBeside" w:vAnchor="text" w:hAnchor="page" w:xAlign="center" w:y="1"/>
      <w:spacing w:after="320"/>
      <w:jc w:val="center"/>
    </w:pPr>
    <w:rPr>
      <w:sz w:val="22"/>
      <w:szCs w:val="22"/>
    </w:rPr>
  </w:style>
  <w:style w:type="character" w:customStyle="1" w:styleId="MemberType">
    <w:name w:val="MemberType"/>
    <w:rsid w:val="001E334D"/>
    <w:rPr>
      <w:rFonts w:ascii="Times New Roman" w:hAnsi="Times New Roman" w:cs="Times New Roman"/>
      <w:i/>
      <w:iCs/>
      <w:sz w:val="22"/>
      <w:szCs w:val="22"/>
    </w:rPr>
  </w:style>
  <w:style w:type="paragraph" w:styleId="Title">
    <w:name w:val="Title"/>
    <w:basedOn w:val="Normal"/>
    <w:next w:val="Normal"/>
    <w:qFormat/>
    <w:rsid w:val="001E334D"/>
    <w:pPr>
      <w:framePr w:w="9360" w:hSpace="187" w:vSpace="187" w:wrap="notBeside" w:vAnchor="text" w:hAnchor="page" w:xAlign="center" w:y="1"/>
      <w:jc w:val="center"/>
    </w:pPr>
    <w:rPr>
      <w:kern w:val="28"/>
      <w:sz w:val="48"/>
      <w:szCs w:val="48"/>
    </w:rPr>
  </w:style>
  <w:style w:type="paragraph" w:styleId="FootnoteText">
    <w:name w:val="footnote text"/>
    <w:basedOn w:val="Normal"/>
    <w:semiHidden/>
    <w:rsid w:val="001E334D"/>
    <w:pPr>
      <w:ind w:firstLine="202"/>
      <w:jc w:val="both"/>
    </w:pPr>
    <w:rPr>
      <w:sz w:val="16"/>
      <w:szCs w:val="16"/>
    </w:rPr>
  </w:style>
  <w:style w:type="paragraph" w:customStyle="1" w:styleId="References">
    <w:name w:val="References"/>
    <w:basedOn w:val="Normal"/>
    <w:rsid w:val="001E334D"/>
    <w:pPr>
      <w:numPr>
        <w:numId w:val="12"/>
      </w:numPr>
      <w:jc w:val="both"/>
    </w:pPr>
    <w:rPr>
      <w:sz w:val="16"/>
      <w:szCs w:val="16"/>
    </w:rPr>
  </w:style>
  <w:style w:type="paragraph" w:customStyle="1" w:styleId="IndexTerms">
    <w:name w:val="IndexTerms"/>
    <w:basedOn w:val="Normal"/>
    <w:next w:val="Normal"/>
    <w:rsid w:val="001E334D"/>
    <w:pPr>
      <w:ind w:firstLine="202"/>
      <w:jc w:val="both"/>
    </w:pPr>
    <w:rPr>
      <w:b/>
      <w:bCs/>
      <w:sz w:val="18"/>
      <w:szCs w:val="18"/>
    </w:rPr>
  </w:style>
  <w:style w:type="character" w:styleId="FootnoteReference">
    <w:name w:val="footnote reference"/>
    <w:semiHidden/>
    <w:rsid w:val="001E334D"/>
    <w:rPr>
      <w:vertAlign w:val="superscript"/>
    </w:rPr>
  </w:style>
  <w:style w:type="paragraph" w:styleId="Footer">
    <w:name w:val="footer"/>
    <w:basedOn w:val="Normal"/>
    <w:semiHidden/>
    <w:rsid w:val="001E334D"/>
    <w:pPr>
      <w:tabs>
        <w:tab w:val="center" w:pos="4320"/>
        <w:tab w:val="right" w:pos="8640"/>
      </w:tabs>
    </w:pPr>
  </w:style>
  <w:style w:type="paragraph" w:customStyle="1" w:styleId="Text">
    <w:name w:val="Text"/>
    <w:basedOn w:val="Normal"/>
    <w:rsid w:val="001E334D"/>
    <w:pPr>
      <w:widowControl w:val="0"/>
      <w:spacing w:line="252" w:lineRule="auto"/>
      <w:ind w:firstLine="202"/>
      <w:jc w:val="both"/>
    </w:pPr>
  </w:style>
  <w:style w:type="paragraph" w:customStyle="1" w:styleId="FigureCaption">
    <w:name w:val="Figure Caption"/>
    <w:basedOn w:val="Normal"/>
    <w:rsid w:val="001E334D"/>
    <w:pPr>
      <w:jc w:val="both"/>
    </w:pPr>
    <w:rPr>
      <w:sz w:val="16"/>
      <w:szCs w:val="16"/>
    </w:rPr>
  </w:style>
  <w:style w:type="paragraph" w:customStyle="1" w:styleId="TableTitle">
    <w:name w:val="Table Title"/>
    <w:basedOn w:val="Normal"/>
    <w:rsid w:val="001E334D"/>
    <w:pPr>
      <w:jc w:val="center"/>
    </w:pPr>
    <w:rPr>
      <w:smallCaps/>
      <w:sz w:val="16"/>
      <w:szCs w:val="16"/>
    </w:rPr>
  </w:style>
  <w:style w:type="paragraph" w:customStyle="1" w:styleId="ReferenceHead">
    <w:name w:val="Reference Head"/>
    <w:basedOn w:val="Heading1"/>
    <w:rsid w:val="001E334D"/>
    <w:pPr>
      <w:numPr>
        <w:numId w:val="0"/>
      </w:numPr>
    </w:pPr>
  </w:style>
  <w:style w:type="paragraph" w:styleId="Header">
    <w:name w:val="header"/>
    <w:basedOn w:val="Normal"/>
    <w:semiHidden/>
    <w:rsid w:val="001E334D"/>
    <w:pPr>
      <w:tabs>
        <w:tab w:val="center" w:pos="4320"/>
        <w:tab w:val="right" w:pos="8640"/>
      </w:tabs>
    </w:pPr>
  </w:style>
  <w:style w:type="paragraph" w:customStyle="1" w:styleId="Equation">
    <w:name w:val="Equation"/>
    <w:basedOn w:val="Normal"/>
    <w:next w:val="Normal"/>
    <w:rsid w:val="001E334D"/>
    <w:pPr>
      <w:widowControl w:val="0"/>
      <w:tabs>
        <w:tab w:val="right" w:pos="5040"/>
      </w:tabs>
      <w:spacing w:line="252" w:lineRule="auto"/>
      <w:jc w:val="both"/>
    </w:pPr>
  </w:style>
  <w:style w:type="character" w:styleId="Hyperlink">
    <w:name w:val="Hyperlink"/>
    <w:semiHidden/>
    <w:rsid w:val="001E334D"/>
    <w:rPr>
      <w:color w:val="0000FF"/>
      <w:u w:val="single"/>
    </w:rPr>
  </w:style>
  <w:style w:type="character" w:styleId="FollowedHyperlink">
    <w:name w:val="FollowedHyperlink"/>
    <w:semiHidden/>
    <w:rsid w:val="001E334D"/>
    <w:rPr>
      <w:color w:val="800080"/>
      <w:u w:val="single"/>
    </w:rPr>
  </w:style>
  <w:style w:type="paragraph" w:styleId="BodyTextIndent">
    <w:name w:val="Body Text Indent"/>
    <w:basedOn w:val="Normal"/>
    <w:semiHidden/>
    <w:rsid w:val="001E334D"/>
    <w:pPr>
      <w:ind w:left="630" w:hanging="630"/>
    </w:pPr>
    <w:rPr>
      <w:szCs w:val="24"/>
    </w:rPr>
  </w:style>
  <w:style w:type="character" w:styleId="PageNumber">
    <w:name w:val="page number"/>
    <w:basedOn w:val="DefaultParagraphFont"/>
    <w:semiHidden/>
    <w:rsid w:val="001E334D"/>
  </w:style>
  <w:style w:type="character" w:customStyle="1" w:styleId="TextChar">
    <w:name w:val="Text Char"/>
    <w:rsid w:val="001E334D"/>
    <w:rPr>
      <w:lang w:val="en-US" w:eastAsia="en-US" w:bidi="ar-SA"/>
    </w:rPr>
  </w:style>
  <w:style w:type="paragraph" w:styleId="NormalWeb">
    <w:name w:val="Normal (Web)"/>
    <w:basedOn w:val="Normal"/>
    <w:uiPriority w:val="99"/>
    <w:semiHidden/>
    <w:rsid w:val="001E334D"/>
    <w:pPr>
      <w:spacing w:before="100" w:beforeAutospacing="1" w:after="100" w:afterAutospacing="1"/>
    </w:pPr>
    <w:rPr>
      <w:sz w:val="24"/>
      <w:szCs w:val="24"/>
    </w:rPr>
  </w:style>
  <w:style w:type="paragraph" w:styleId="BodyText">
    <w:name w:val="Body Text"/>
    <w:basedOn w:val="Normal"/>
    <w:semiHidden/>
    <w:rsid w:val="001E334D"/>
    <w:pPr>
      <w:jc w:val="center"/>
    </w:pPr>
    <w:rPr>
      <w:b/>
      <w:bCs/>
      <w:sz w:val="28"/>
      <w:szCs w:val="28"/>
    </w:rPr>
  </w:style>
  <w:style w:type="paragraph" w:styleId="BalloonText">
    <w:name w:val="Balloon Text"/>
    <w:basedOn w:val="Normal"/>
    <w:link w:val="BalloonTextChar"/>
    <w:uiPriority w:val="99"/>
    <w:semiHidden/>
    <w:unhideWhenUsed/>
    <w:rsid w:val="00D84057"/>
    <w:rPr>
      <w:rFonts w:ascii="Tahoma" w:hAnsi="Tahoma" w:cs="Tahoma"/>
      <w:sz w:val="16"/>
      <w:szCs w:val="16"/>
    </w:rPr>
  </w:style>
  <w:style w:type="character" w:customStyle="1" w:styleId="BalloonTextChar">
    <w:name w:val="Balloon Text Char"/>
    <w:link w:val="BalloonText"/>
    <w:uiPriority w:val="99"/>
    <w:semiHidden/>
    <w:rsid w:val="00D84057"/>
    <w:rPr>
      <w:rFonts w:ascii="Tahoma" w:hAnsi="Tahoma" w:cs="Tahoma"/>
      <w:sz w:val="16"/>
      <w:szCs w:val="16"/>
      <w:lang w:val="en-US" w:eastAsia="en-US"/>
    </w:rPr>
  </w:style>
  <w:style w:type="paragraph" w:styleId="ListParagraph">
    <w:name w:val="List Paragraph"/>
    <w:basedOn w:val="Normal"/>
    <w:uiPriority w:val="34"/>
    <w:qFormat/>
    <w:rsid w:val="00B767A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0927119">
      <w:bodyDiv w:val="1"/>
      <w:marLeft w:val="0"/>
      <w:marRight w:val="0"/>
      <w:marTop w:val="0"/>
      <w:marBottom w:val="0"/>
      <w:divBdr>
        <w:top w:val="none" w:sz="0" w:space="0" w:color="auto"/>
        <w:left w:val="none" w:sz="0" w:space="0" w:color="auto"/>
        <w:bottom w:val="none" w:sz="0" w:space="0" w:color="auto"/>
        <w:right w:val="none" w:sz="0" w:space="0" w:color="auto"/>
      </w:divBdr>
    </w:div>
    <w:div w:id="998580795">
      <w:bodyDiv w:val="1"/>
      <w:marLeft w:val="0"/>
      <w:marRight w:val="0"/>
      <w:marTop w:val="0"/>
      <w:marBottom w:val="0"/>
      <w:divBdr>
        <w:top w:val="none" w:sz="0" w:space="0" w:color="auto"/>
        <w:left w:val="none" w:sz="0" w:space="0" w:color="auto"/>
        <w:bottom w:val="none" w:sz="0" w:space="0" w:color="auto"/>
        <w:right w:val="none" w:sz="0" w:space="0" w:color="auto"/>
      </w:divBdr>
    </w:div>
    <w:div w:id="1369598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hyperlink" Target="https://www.adwill-global.com/en/tape/coating.html" TargetMode="External"/><Relationship Id="rId7" Type="http://schemas.openxmlformats.org/officeDocument/2006/relationships/hyperlink" Target="mailto:doughackler@americansemi.com" TargetMode="Externa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www.vtekusa.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4</Pages>
  <Words>1934</Words>
  <Characters>11030</Characters>
  <Application>Microsoft Office Word</Application>
  <DocSecurity>0</DocSecurity>
  <Lines>91</Lines>
  <Paragraphs>25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vt:lpstr>
      <vt:lpstr></vt:lpstr>
    </vt:vector>
  </TitlesOfParts>
  <Company>IEEE</Company>
  <LinksUpToDate>false</LinksUpToDate>
  <CharactersWithSpaces>12939</CharactersWithSpaces>
  <SharedDoc>false</SharedDoc>
  <HLinks>
    <vt:vector size="12" baseType="variant">
      <vt:variant>
        <vt:i4>2687077</vt:i4>
      </vt:variant>
      <vt:variant>
        <vt:i4>6</vt:i4>
      </vt:variant>
      <vt:variant>
        <vt:i4>0</vt:i4>
      </vt:variant>
      <vt:variant>
        <vt:i4>5</vt:i4>
      </vt:variant>
      <vt:variant>
        <vt:lpwstr>http://www.atm.com/</vt:lpwstr>
      </vt:variant>
      <vt:variant>
        <vt:lpwstr/>
      </vt:variant>
      <vt:variant>
        <vt:i4>6160457</vt:i4>
      </vt:variant>
      <vt:variant>
        <vt:i4>3</vt:i4>
      </vt:variant>
      <vt:variant>
        <vt:i4>0</vt:i4>
      </vt:variant>
      <vt:variant>
        <vt:i4>5</vt:i4>
      </vt:variant>
      <vt:variant>
        <vt:lpwstr>http://www.(url/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dc:creator>
  <cp:lastModifiedBy>Doug Hackler</cp:lastModifiedBy>
  <cp:revision>4</cp:revision>
  <cp:lastPrinted>2013-05-22T08:09:00Z</cp:lastPrinted>
  <dcterms:created xsi:type="dcterms:W3CDTF">2020-08-07T19:48:00Z</dcterms:created>
  <dcterms:modified xsi:type="dcterms:W3CDTF">2020-10-07T17:54:00Z</dcterms:modified>
</cp:coreProperties>
</file>